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DA" w:rsidRPr="00762EB6" w:rsidRDefault="00EC05DA" w:rsidP="00EC05DA">
      <w:pPr>
        <w:spacing w:line="480" w:lineRule="auto"/>
        <w:jc w:val="center"/>
        <w:rPr>
          <w:rFonts w:ascii="Times New Roman" w:hAnsi="Times New Roman"/>
          <w:b/>
          <w:u w:val="single"/>
        </w:rPr>
      </w:pPr>
      <w:r w:rsidRPr="00762EB6">
        <w:rPr>
          <w:rFonts w:ascii="Times New Roman" w:hAnsi="Times New Roman"/>
          <w:b/>
          <w:u w:val="single"/>
        </w:rPr>
        <w:t>Financial Analysis: Marriott International, Inc. Class A (MAR)</w:t>
      </w:r>
    </w:p>
    <w:p w:rsidR="001234A5" w:rsidRPr="00EC05DA" w:rsidRDefault="00754802" w:rsidP="00EC05DA">
      <w:pPr>
        <w:spacing w:line="480" w:lineRule="auto"/>
        <w:rPr>
          <w:rFonts w:ascii="Times New Roman" w:hAnsi="Times New Roman"/>
        </w:rPr>
      </w:pPr>
      <w:r w:rsidRPr="00EC05DA">
        <w:rPr>
          <w:rFonts w:ascii="Times New Roman" w:hAnsi="Times New Roman"/>
        </w:rPr>
        <w:t xml:space="preserve">The following report </w:t>
      </w:r>
      <w:r w:rsidR="00C36F5B">
        <w:rPr>
          <w:rFonts w:ascii="Times New Roman" w:hAnsi="Times New Roman"/>
        </w:rPr>
        <w:t>compares and analyzes</w:t>
      </w:r>
      <w:r w:rsidRPr="00EC05DA">
        <w:rPr>
          <w:rFonts w:ascii="Times New Roman" w:hAnsi="Times New Roman"/>
        </w:rPr>
        <w:t xml:space="preserve"> the financials </w:t>
      </w:r>
      <w:r w:rsidR="00C36F5B">
        <w:rPr>
          <w:rFonts w:ascii="Times New Roman" w:hAnsi="Times New Roman"/>
        </w:rPr>
        <w:t xml:space="preserve">trailing </w:t>
      </w:r>
      <w:r w:rsidRPr="00EC05DA">
        <w:rPr>
          <w:rFonts w:ascii="Times New Roman" w:hAnsi="Times New Roman"/>
        </w:rPr>
        <w:t>five years, 2011-2007, of Marriott International with several other firms in the hotel and lodging industry. The other firms include Starwood, Wyndham, and Hyatt.</w:t>
      </w:r>
    </w:p>
    <w:p w:rsidR="002A10A6" w:rsidRPr="00EC05DA" w:rsidRDefault="00990AB8" w:rsidP="00EC05DA">
      <w:pPr>
        <w:spacing w:line="480" w:lineRule="auto"/>
        <w:ind w:firstLine="720"/>
        <w:rPr>
          <w:rFonts w:ascii="Times New Roman" w:hAnsi="Times New Roman"/>
        </w:rPr>
      </w:pPr>
      <w:r w:rsidRPr="00EC05DA">
        <w:rPr>
          <w:rFonts w:ascii="Times New Roman" w:hAnsi="Times New Roman"/>
        </w:rPr>
        <w:t>Marriott International is among the top firms in the hotel and lodging industry. The company</w:t>
      </w:r>
      <w:r w:rsidR="00EC05DA">
        <w:rPr>
          <w:rFonts w:ascii="Times New Roman" w:hAnsi="Times New Roman"/>
        </w:rPr>
        <w:t xml:space="preserve"> is</w:t>
      </w:r>
      <w:r w:rsidRPr="00EC05DA">
        <w:rPr>
          <w:rFonts w:ascii="Times New Roman" w:hAnsi="Times New Roman"/>
        </w:rPr>
        <w:t xml:space="preserve"> primarily a management group</w:t>
      </w:r>
      <w:r w:rsidR="00EC05DA">
        <w:rPr>
          <w:rFonts w:ascii="Times New Roman" w:hAnsi="Times New Roman"/>
        </w:rPr>
        <w:t>,</w:t>
      </w:r>
      <w:r w:rsidRPr="00EC05DA">
        <w:rPr>
          <w:rFonts w:ascii="Times New Roman" w:hAnsi="Times New Roman"/>
        </w:rPr>
        <w:t xml:space="preserve"> with 98% of its hotels being franchised or </w:t>
      </w:r>
      <w:r w:rsidR="00C36F5B">
        <w:rPr>
          <w:rFonts w:ascii="Times New Roman" w:hAnsi="Times New Roman"/>
        </w:rPr>
        <w:t xml:space="preserve">strictly </w:t>
      </w:r>
      <w:r w:rsidRPr="00EC05DA">
        <w:rPr>
          <w:rFonts w:ascii="Times New Roman" w:hAnsi="Times New Roman"/>
        </w:rPr>
        <w:t>managed</w:t>
      </w:r>
      <w:r w:rsidR="00C36F5B">
        <w:rPr>
          <w:rFonts w:ascii="Times New Roman" w:hAnsi="Times New Roman"/>
        </w:rPr>
        <w:t>, d</w:t>
      </w:r>
      <w:r w:rsidR="00EC05DA">
        <w:rPr>
          <w:rFonts w:ascii="Times New Roman" w:hAnsi="Times New Roman"/>
        </w:rPr>
        <w:t>iffer</w:t>
      </w:r>
      <w:r w:rsidR="00C36F5B">
        <w:rPr>
          <w:rFonts w:ascii="Times New Roman" w:hAnsi="Times New Roman"/>
        </w:rPr>
        <w:t>ing</w:t>
      </w:r>
      <w:r w:rsidR="00EC05DA">
        <w:rPr>
          <w:rFonts w:ascii="Times New Roman" w:hAnsi="Times New Roman"/>
        </w:rPr>
        <w:t xml:space="preserve"> from the others in the industry</w:t>
      </w:r>
      <w:r w:rsidRPr="00EC05DA">
        <w:rPr>
          <w:rFonts w:ascii="Times New Roman" w:hAnsi="Times New Roman"/>
        </w:rPr>
        <w:t xml:space="preserve">. Marriott International includes corporate, franchise and timeshare </w:t>
      </w:r>
      <w:r w:rsidR="00C36F5B">
        <w:rPr>
          <w:rFonts w:ascii="Times New Roman" w:hAnsi="Times New Roman"/>
        </w:rPr>
        <w:t>resorts</w:t>
      </w:r>
      <w:r w:rsidRPr="00EC05DA">
        <w:rPr>
          <w:rFonts w:ascii="Times New Roman" w:hAnsi="Times New Roman"/>
        </w:rPr>
        <w:t xml:space="preserve"> with its 18 various brands. </w:t>
      </w:r>
      <w:r w:rsidR="00C36F5B">
        <w:rPr>
          <w:rFonts w:ascii="Times New Roman" w:hAnsi="Times New Roman"/>
        </w:rPr>
        <w:t>Locations are</w:t>
      </w:r>
      <w:r w:rsidRPr="00EC05DA">
        <w:rPr>
          <w:rFonts w:ascii="Times New Roman" w:hAnsi="Times New Roman"/>
        </w:rPr>
        <w:t xml:space="preserve"> ranging from iconic luxury hotels like the Ritz Carlton and Ritz Carlton Destination Club to extended stays like the Residence Inn or TownePlace suites. The company is versatile in the industry</w:t>
      </w:r>
      <w:r w:rsidR="00F02B6E">
        <w:rPr>
          <w:rFonts w:ascii="Times New Roman" w:hAnsi="Times New Roman"/>
        </w:rPr>
        <w:t xml:space="preserve"> covering low end residences to high end vacation resorts. They are </w:t>
      </w:r>
      <w:r w:rsidRPr="00EC05DA">
        <w:rPr>
          <w:rFonts w:ascii="Times New Roman" w:hAnsi="Times New Roman"/>
        </w:rPr>
        <w:t xml:space="preserve">extended internationally, with more than 3700 properties in 74 countries.  </w:t>
      </w:r>
      <w:r w:rsidR="00F02B6E">
        <w:rPr>
          <w:rFonts w:ascii="Times New Roman" w:hAnsi="Times New Roman"/>
        </w:rPr>
        <w:t>Although t</w:t>
      </w:r>
      <w:r w:rsidRPr="00EC05DA">
        <w:rPr>
          <w:rFonts w:ascii="Times New Roman" w:hAnsi="Times New Roman"/>
        </w:rPr>
        <w:t xml:space="preserve">he recent recession </w:t>
      </w:r>
      <w:r w:rsidR="001B798F">
        <w:rPr>
          <w:rFonts w:ascii="Times New Roman" w:hAnsi="Times New Roman"/>
        </w:rPr>
        <w:t xml:space="preserve">(08/09) </w:t>
      </w:r>
      <w:r w:rsidR="00F02B6E">
        <w:rPr>
          <w:rFonts w:ascii="Times New Roman" w:hAnsi="Times New Roman"/>
        </w:rPr>
        <w:t xml:space="preserve">created </w:t>
      </w:r>
      <w:r w:rsidRPr="00EC05DA">
        <w:rPr>
          <w:rFonts w:ascii="Times New Roman" w:hAnsi="Times New Roman"/>
        </w:rPr>
        <w:t xml:space="preserve">problems </w:t>
      </w:r>
      <w:r w:rsidR="00F02B6E">
        <w:rPr>
          <w:rFonts w:ascii="Times New Roman" w:hAnsi="Times New Roman"/>
        </w:rPr>
        <w:t>for</w:t>
      </w:r>
      <w:r w:rsidRPr="00EC05DA">
        <w:rPr>
          <w:rFonts w:ascii="Times New Roman" w:hAnsi="Times New Roman"/>
        </w:rPr>
        <w:t xml:space="preserve"> the entire industry, nearly 80% of their revenues are still generated in North America. </w:t>
      </w:r>
      <w:r w:rsidR="002A10A6" w:rsidRPr="00EC05DA">
        <w:rPr>
          <w:rFonts w:ascii="Times New Roman" w:hAnsi="Times New Roman"/>
        </w:rPr>
        <w:t xml:space="preserve">In </w:t>
      </w:r>
      <w:r w:rsidR="00F02B6E">
        <w:rPr>
          <w:rFonts w:ascii="Times New Roman" w:hAnsi="Times New Roman"/>
        </w:rPr>
        <w:t>2011 the corporation completed a</w:t>
      </w:r>
      <w:r w:rsidR="002A10A6" w:rsidRPr="00EC05DA">
        <w:rPr>
          <w:rFonts w:ascii="Times New Roman" w:hAnsi="Times New Roman"/>
        </w:rPr>
        <w:t xml:space="preserve"> spin off of Marriott Vacation Club International (MVCI)</w:t>
      </w:r>
      <w:r w:rsidR="00F02B6E">
        <w:rPr>
          <w:rFonts w:ascii="Times New Roman" w:hAnsi="Times New Roman"/>
        </w:rPr>
        <w:t>,</w:t>
      </w:r>
      <w:r w:rsidR="002A10A6" w:rsidRPr="00EC05DA">
        <w:rPr>
          <w:rFonts w:ascii="Times New Roman" w:hAnsi="Times New Roman"/>
        </w:rPr>
        <w:t xml:space="preserve"> or timeshare business</w:t>
      </w:r>
      <w:r w:rsidR="00F02B6E">
        <w:rPr>
          <w:rFonts w:ascii="Times New Roman" w:hAnsi="Times New Roman"/>
        </w:rPr>
        <w:t>,</w:t>
      </w:r>
      <w:r w:rsidR="002A10A6" w:rsidRPr="00EC05DA">
        <w:rPr>
          <w:rFonts w:ascii="Times New Roman" w:hAnsi="Times New Roman"/>
        </w:rPr>
        <w:t xml:space="preserve"> </w:t>
      </w:r>
      <w:r w:rsidR="00762EB6">
        <w:rPr>
          <w:rFonts w:ascii="Times New Roman" w:hAnsi="Times New Roman"/>
        </w:rPr>
        <w:t xml:space="preserve">into a separate entity </w:t>
      </w:r>
      <w:r w:rsidR="00F02B6E">
        <w:rPr>
          <w:rFonts w:ascii="Times New Roman" w:hAnsi="Times New Roman"/>
        </w:rPr>
        <w:t>causing a</w:t>
      </w:r>
      <w:r w:rsidR="002A10A6" w:rsidRPr="00EC05DA">
        <w:rPr>
          <w:rFonts w:ascii="Times New Roman" w:hAnsi="Times New Roman"/>
        </w:rPr>
        <w:t xml:space="preserve"> reduction in </w:t>
      </w:r>
      <w:r w:rsidR="00F02B6E">
        <w:rPr>
          <w:rFonts w:ascii="Times New Roman" w:hAnsi="Times New Roman"/>
        </w:rPr>
        <w:t>the financial ratios 2010 to 2011. D</w:t>
      </w:r>
      <w:r w:rsidR="002A10A6" w:rsidRPr="00EC05DA">
        <w:rPr>
          <w:rFonts w:ascii="Times New Roman" w:hAnsi="Times New Roman"/>
        </w:rPr>
        <w:t xml:space="preserve">espite this </w:t>
      </w:r>
      <w:r w:rsidRPr="00EC05DA">
        <w:rPr>
          <w:rFonts w:ascii="Times New Roman" w:hAnsi="Times New Roman"/>
        </w:rPr>
        <w:t>Marriott International reported total re</w:t>
      </w:r>
      <w:r w:rsidR="00F02B6E">
        <w:rPr>
          <w:rFonts w:ascii="Times New Roman" w:hAnsi="Times New Roman"/>
        </w:rPr>
        <w:t>venues of 12.3 billion for 2011. Y</w:t>
      </w:r>
      <w:r w:rsidR="002A10A6" w:rsidRPr="00EC05DA">
        <w:rPr>
          <w:rFonts w:ascii="Times New Roman" w:hAnsi="Times New Roman"/>
        </w:rPr>
        <w:t>ear to date Marriott Internatio</w:t>
      </w:r>
      <w:r w:rsidR="00F02B6E">
        <w:rPr>
          <w:rFonts w:ascii="Times New Roman" w:hAnsi="Times New Roman"/>
        </w:rPr>
        <w:t>nal’s stock price has risen 33%; they are</w:t>
      </w:r>
      <w:r w:rsidR="002A10A6" w:rsidRPr="00EC05DA">
        <w:rPr>
          <w:rFonts w:ascii="Times New Roman" w:hAnsi="Times New Roman"/>
        </w:rPr>
        <w:t xml:space="preserve"> maintaining </w:t>
      </w:r>
      <w:r w:rsidR="00F02B6E">
        <w:rPr>
          <w:rFonts w:ascii="Times New Roman" w:hAnsi="Times New Roman"/>
        </w:rPr>
        <w:t>a</w:t>
      </w:r>
      <w:r w:rsidR="002A10A6" w:rsidRPr="00EC05DA">
        <w:rPr>
          <w:rFonts w:ascii="Times New Roman" w:hAnsi="Times New Roman"/>
        </w:rPr>
        <w:t xml:space="preserve"> strong presence among the leaders of the industry and are continuing to make improvements.</w:t>
      </w:r>
    </w:p>
    <w:p w:rsidR="001234A5" w:rsidRPr="00762EB6" w:rsidRDefault="00754802" w:rsidP="00EC05DA">
      <w:pPr>
        <w:spacing w:line="480" w:lineRule="auto"/>
        <w:jc w:val="center"/>
        <w:rPr>
          <w:rFonts w:ascii="Times New Roman" w:hAnsi="Times New Roman"/>
          <w:b/>
          <w:u w:val="single"/>
        </w:rPr>
      </w:pPr>
      <w:r w:rsidRPr="00762EB6">
        <w:rPr>
          <w:rFonts w:ascii="Times New Roman" w:hAnsi="Times New Roman"/>
          <w:b/>
          <w:u w:val="single"/>
        </w:rPr>
        <w:t>Ratio Comparisons</w:t>
      </w:r>
    </w:p>
    <w:p w:rsidR="00944E37" w:rsidRPr="00EC05DA" w:rsidRDefault="00754802" w:rsidP="00EC05DA">
      <w:pPr>
        <w:spacing w:line="480" w:lineRule="auto"/>
        <w:rPr>
          <w:rFonts w:ascii="Times New Roman" w:hAnsi="Times New Roman"/>
        </w:rPr>
      </w:pPr>
      <w:r w:rsidRPr="00EC05DA">
        <w:rPr>
          <w:rFonts w:ascii="Times New Roman" w:hAnsi="Times New Roman"/>
          <w:u w:val="single"/>
        </w:rPr>
        <w:t>Debt Ratios</w:t>
      </w:r>
      <w:r w:rsidR="00944E37" w:rsidRPr="00EC05DA">
        <w:rPr>
          <w:rFonts w:ascii="Times New Roman" w:hAnsi="Times New Roman"/>
        </w:rPr>
        <w:t xml:space="preserve"> </w:t>
      </w:r>
    </w:p>
    <w:p w:rsidR="00944E37" w:rsidRPr="00EC05DA" w:rsidRDefault="00944E37" w:rsidP="00EC05DA">
      <w:pPr>
        <w:spacing w:line="480" w:lineRule="auto"/>
        <w:ind w:firstLine="720"/>
        <w:rPr>
          <w:rFonts w:ascii="Times New Roman" w:hAnsi="Times New Roman"/>
        </w:rPr>
      </w:pPr>
      <w:r w:rsidRPr="00EC05DA">
        <w:rPr>
          <w:rFonts w:ascii="Times New Roman" w:hAnsi="Times New Roman"/>
        </w:rPr>
        <w:t xml:space="preserve">Marriott International has slightly higher debt ratios than all the other firms in this </w:t>
      </w:r>
      <w:r w:rsidR="00F02B6E" w:rsidRPr="00EC05DA">
        <w:rPr>
          <w:rFonts w:ascii="Times New Roman" w:hAnsi="Times New Roman"/>
        </w:rPr>
        <w:t>industry</w:t>
      </w:r>
      <w:r w:rsidR="00F02B6E">
        <w:rPr>
          <w:rFonts w:ascii="Times New Roman" w:hAnsi="Times New Roman"/>
        </w:rPr>
        <w:t xml:space="preserve">. Although they are </w:t>
      </w:r>
      <w:r w:rsidR="001B798F">
        <w:rPr>
          <w:rFonts w:ascii="Times New Roman" w:hAnsi="Times New Roman"/>
        </w:rPr>
        <w:t xml:space="preserve">not far from the average; </w:t>
      </w:r>
      <w:r w:rsidR="00F02B6E">
        <w:rPr>
          <w:rFonts w:ascii="Times New Roman" w:hAnsi="Times New Roman"/>
        </w:rPr>
        <w:t>indicating</w:t>
      </w:r>
      <w:r w:rsidR="001B798F" w:rsidRPr="00EC05DA">
        <w:rPr>
          <w:rFonts w:ascii="Times New Roman" w:hAnsi="Times New Roman"/>
        </w:rPr>
        <w:t xml:space="preserve"> that Marriott</w:t>
      </w:r>
      <w:r w:rsidR="00F02B6E">
        <w:rPr>
          <w:rFonts w:ascii="Times New Roman" w:hAnsi="Times New Roman"/>
        </w:rPr>
        <w:t>,</w:t>
      </w:r>
      <w:r w:rsidR="001B798F" w:rsidRPr="00EC05DA">
        <w:rPr>
          <w:rFonts w:ascii="Times New Roman" w:hAnsi="Times New Roman"/>
        </w:rPr>
        <w:t xml:space="preserve"> </w:t>
      </w:r>
      <w:r w:rsidR="00F02B6E" w:rsidRPr="00EC05DA">
        <w:rPr>
          <w:rFonts w:ascii="Times New Roman" w:hAnsi="Times New Roman"/>
        </w:rPr>
        <w:t>like</w:t>
      </w:r>
      <w:r w:rsidR="00F02B6E" w:rsidRPr="00EC05DA">
        <w:rPr>
          <w:rFonts w:ascii="Times New Roman" w:hAnsi="Times New Roman"/>
        </w:rPr>
        <w:t xml:space="preserve"> </w:t>
      </w:r>
      <w:r w:rsidR="001B798F" w:rsidRPr="00EC05DA">
        <w:rPr>
          <w:rFonts w:ascii="Times New Roman" w:hAnsi="Times New Roman"/>
        </w:rPr>
        <w:t>other firms</w:t>
      </w:r>
      <w:r w:rsidR="001B798F">
        <w:rPr>
          <w:rFonts w:ascii="Times New Roman" w:hAnsi="Times New Roman"/>
        </w:rPr>
        <w:t xml:space="preserve"> in the industry </w:t>
      </w:r>
      <w:r w:rsidR="00F02B6E">
        <w:rPr>
          <w:rFonts w:ascii="Times New Roman" w:hAnsi="Times New Roman"/>
        </w:rPr>
        <w:t xml:space="preserve">rely </w:t>
      </w:r>
      <w:r w:rsidR="001B798F" w:rsidRPr="00EC05DA">
        <w:rPr>
          <w:rFonts w:ascii="Times New Roman" w:hAnsi="Times New Roman"/>
        </w:rPr>
        <w:t>upon similar levels of leverage and financing.</w:t>
      </w:r>
      <w:r w:rsidR="001B798F">
        <w:rPr>
          <w:rFonts w:ascii="Times New Roman" w:hAnsi="Times New Roman"/>
        </w:rPr>
        <w:t xml:space="preserve"> </w:t>
      </w:r>
      <w:r w:rsidR="00A908F7">
        <w:rPr>
          <w:rFonts w:ascii="Times New Roman" w:hAnsi="Times New Roman"/>
        </w:rPr>
        <w:t>A</w:t>
      </w:r>
      <w:r w:rsidR="001335D3">
        <w:rPr>
          <w:rFonts w:ascii="Times New Roman" w:hAnsi="Times New Roman"/>
        </w:rPr>
        <w:t>s noted before only 2% of the company’s properties are owned or leased,</w:t>
      </w:r>
      <w:r w:rsidR="00DB4562">
        <w:rPr>
          <w:rFonts w:ascii="Times New Roman" w:hAnsi="Times New Roman"/>
        </w:rPr>
        <w:t xml:space="preserve"> having a higher debt/equity ratios</w:t>
      </w:r>
      <w:r w:rsidR="001335D3">
        <w:rPr>
          <w:rFonts w:ascii="Times New Roman" w:hAnsi="Times New Roman"/>
        </w:rPr>
        <w:t xml:space="preserve"> </w:t>
      </w:r>
      <w:r w:rsidR="00DB4562">
        <w:rPr>
          <w:rFonts w:ascii="Times New Roman" w:hAnsi="Times New Roman"/>
        </w:rPr>
        <w:t>indicates</w:t>
      </w:r>
      <w:r w:rsidR="00236C41">
        <w:rPr>
          <w:rFonts w:ascii="Times New Roman" w:hAnsi="Times New Roman"/>
        </w:rPr>
        <w:t xml:space="preserve"> that Marriott is </w:t>
      </w:r>
      <w:r w:rsidR="001335D3">
        <w:rPr>
          <w:rFonts w:ascii="Times New Roman" w:hAnsi="Times New Roman"/>
        </w:rPr>
        <w:t>using leverage</w:t>
      </w:r>
      <w:r w:rsidR="00236C41">
        <w:rPr>
          <w:rFonts w:ascii="Times New Roman" w:hAnsi="Times New Roman"/>
        </w:rPr>
        <w:t xml:space="preserve">, mostly </w:t>
      </w:r>
      <w:r w:rsidR="00DB4562">
        <w:rPr>
          <w:rFonts w:ascii="Times New Roman" w:hAnsi="Times New Roman"/>
        </w:rPr>
        <w:t xml:space="preserve">short term </w:t>
      </w:r>
      <w:r w:rsidR="00236C41">
        <w:rPr>
          <w:rFonts w:ascii="Times New Roman" w:hAnsi="Times New Roman"/>
        </w:rPr>
        <w:t>debt, to help</w:t>
      </w:r>
      <w:r w:rsidR="001335D3">
        <w:rPr>
          <w:rFonts w:ascii="Times New Roman" w:hAnsi="Times New Roman"/>
        </w:rPr>
        <w:t xml:space="preserve"> management properties and franchises</w:t>
      </w:r>
      <w:r w:rsidR="00DB4562">
        <w:rPr>
          <w:rFonts w:ascii="Times New Roman" w:hAnsi="Times New Roman"/>
        </w:rPr>
        <w:t>. These</w:t>
      </w:r>
      <w:r w:rsidR="001335D3">
        <w:rPr>
          <w:rFonts w:ascii="Times New Roman" w:hAnsi="Times New Roman"/>
        </w:rPr>
        <w:t xml:space="preserve"> account for the other 98% of their </w:t>
      </w:r>
      <w:r w:rsidR="001335D3">
        <w:rPr>
          <w:rFonts w:ascii="Times New Roman" w:hAnsi="Times New Roman"/>
        </w:rPr>
        <w:lastRenderedPageBreak/>
        <w:t xml:space="preserve">business. Since the spin off, Marriott has been trying to increase the number of properties, thus taking on more debt. </w:t>
      </w:r>
      <w:r w:rsidR="00DB4562">
        <w:rPr>
          <w:rFonts w:ascii="Times New Roman" w:hAnsi="Times New Roman"/>
        </w:rPr>
        <w:t>H</w:t>
      </w:r>
      <w:r w:rsidRPr="00EC05DA">
        <w:rPr>
          <w:rFonts w:ascii="Times New Roman" w:hAnsi="Times New Roman"/>
        </w:rPr>
        <w:t>av</w:t>
      </w:r>
      <w:r w:rsidR="00DB4562">
        <w:rPr>
          <w:rFonts w:ascii="Times New Roman" w:hAnsi="Times New Roman"/>
        </w:rPr>
        <w:t>ing</w:t>
      </w:r>
      <w:r w:rsidRPr="00EC05DA">
        <w:rPr>
          <w:rFonts w:ascii="Times New Roman" w:hAnsi="Times New Roman"/>
        </w:rPr>
        <w:t xml:space="preserve"> the highest total debt, debt/equity, and equity multiplier</w:t>
      </w:r>
      <w:r w:rsidR="001335D3">
        <w:rPr>
          <w:rFonts w:ascii="Times New Roman" w:hAnsi="Times New Roman"/>
        </w:rPr>
        <w:t xml:space="preserve"> nearly each of the five years, and </w:t>
      </w:r>
      <w:r w:rsidR="00DB4562">
        <w:rPr>
          <w:rFonts w:ascii="Times New Roman" w:hAnsi="Times New Roman"/>
        </w:rPr>
        <w:t>possessing</w:t>
      </w:r>
      <w:r w:rsidRPr="00EC05DA">
        <w:rPr>
          <w:rFonts w:ascii="Times New Roman" w:hAnsi="Times New Roman"/>
        </w:rPr>
        <w:t xml:space="preserve"> the largest long term debt only in 2011.  Marriott’s debt ratios remain</w:t>
      </w:r>
      <w:r w:rsidR="00DB4562">
        <w:rPr>
          <w:rFonts w:ascii="Times New Roman" w:hAnsi="Times New Roman"/>
        </w:rPr>
        <w:t xml:space="preserve">ed about the same until 2010, </w:t>
      </w:r>
      <w:r w:rsidRPr="00EC05DA">
        <w:rPr>
          <w:rFonts w:ascii="Times New Roman" w:hAnsi="Times New Roman"/>
        </w:rPr>
        <w:t xml:space="preserve">and then have drastic changes in 2011. </w:t>
      </w:r>
      <w:r w:rsidR="00A908F7">
        <w:rPr>
          <w:rFonts w:ascii="Times New Roman" w:hAnsi="Times New Roman"/>
        </w:rPr>
        <w:t xml:space="preserve">The 2011 reports revealed that total debt and long term debt increased by </w:t>
      </w:r>
      <w:r w:rsidR="00DB4562">
        <w:rPr>
          <w:rFonts w:ascii="Times New Roman" w:hAnsi="Times New Roman"/>
        </w:rPr>
        <w:t>0.31 and 0.48 respectively</w:t>
      </w:r>
      <w:r w:rsidR="00A908F7">
        <w:rPr>
          <w:rFonts w:ascii="Times New Roman" w:hAnsi="Times New Roman"/>
        </w:rPr>
        <w:t>, while debt equ</w:t>
      </w:r>
      <w:r w:rsidR="00DB4562">
        <w:rPr>
          <w:rFonts w:ascii="Times New Roman" w:hAnsi="Times New Roman"/>
        </w:rPr>
        <w:t xml:space="preserve">ity plummeted to negative </w:t>
      </w:r>
      <w:r w:rsidR="00B72ABF">
        <w:rPr>
          <w:rFonts w:ascii="Times New Roman" w:hAnsi="Times New Roman"/>
        </w:rPr>
        <w:t>8.57, a drop of 13.23</w:t>
      </w:r>
      <w:r w:rsidR="00A908F7">
        <w:rPr>
          <w:rFonts w:ascii="Times New Roman" w:hAnsi="Times New Roman"/>
        </w:rPr>
        <w:t>.</w:t>
      </w:r>
      <w:r w:rsidRPr="00EC05DA">
        <w:rPr>
          <w:rFonts w:ascii="Times New Roman" w:hAnsi="Times New Roman"/>
        </w:rPr>
        <w:t xml:space="preserve"> </w:t>
      </w:r>
      <w:r w:rsidR="00513EDF">
        <w:rPr>
          <w:rFonts w:ascii="Times New Roman" w:hAnsi="Times New Roman"/>
        </w:rPr>
        <w:t xml:space="preserve">The debt ratios are all </w:t>
      </w:r>
      <w:r w:rsidR="001B798F">
        <w:rPr>
          <w:rFonts w:ascii="Times New Roman" w:hAnsi="Times New Roman"/>
        </w:rPr>
        <w:t>consistent with each other until 2011 when Marriott completed the spinoff of its</w:t>
      </w:r>
      <w:r w:rsidR="001335D3">
        <w:rPr>
          <w:rFonts w:ascii="Times New Roman" w:hAnsi="Times New Roman"/>
        </w:rPr>
        <w:t xml:space="preserve"> timeshare</w:t>
      </w:r>
      <w:r w:rsidR="00513EDF">
        <w:rPr>
          <w:rFonts w:ascii="Times New Roman" w:hAnsi="Times New Roman"/>
        </w:rPr>
        <w:t xml:space="preserve"> business</w:t>
      </w:r>
      <w:r w:rsidR="00410BA1">
        <w:rPr>
          <w:rFonts w:ascii="Times New Roman" w:hAnsi="Times New Roman"/>
        </w:rPr>
        <w:t>.</w:t>
      </w:r>
      <w:r w:rsidR="00513EDF">
        <w:rPr>
          <w:rFonts w:ascii="Times New Roman" w:hAnsi="Times New Roman"/>
        </w:rPr>
        <w:t xml:space="preserve"> </w:t>
      </w:r>
      <w:r w:rsidR="00410BA1">
        <w:rPr>
          <w:rFonts w:ascii="Times New Roman" w:hAnsi="Times New Roman"/>
        </w:rPr>
        <w:t>C</w:t>
      </w:r>
      <w:r w:rsidR="00513EDF">
        <w:rPr>
          <w:rFonts w:ascii="Times New Roman" w:hAnsi="Times New Roman"/>
        </w:rPr>
        <w:t>ausing</w:t>
      </w:r>
      <w:r w:rsidR="001335D3">
        <w:rPr>
          <w:rFonts w:ascii="Times New Roman" w:hAnsi="Times New Roman"/>
        </w:rPr>
        <w:t xml:space="preserve"> a </w:t>
      </w:r>
      <w:r w:rsidR="00410BA1">
        <w:rPr>
          <w:rFonts w:ascii="Times New Roman" w:hAnsi="Times New Roman"/>
        </w:rPr>
        <w:t>reduction</w:t>
      </w:r>
      <w:r w:rsidR="001335D3">
        <w:rPr>
          <w:rFonts w:ascii="Times New Roman" w:hAnsi="Times New Roman"/>
        </w:rPr>
        <w:t xml:space="preserve"> in</w:t>
      </w:r>
      <w:r w:rsidR="00410BA1">
        <w:rPr>
          <w:rFonts w:ascii="Times New Roman" w:hAnsi="Times New Roman"/>
        </w:rPr>
        <w:t xml:space="preserve"> </w:t>
      </w:r>
      <w:r w:rsidR="001335D3">
        <w:rPr>
          <w:rFonts w:ascii="Times New Roman" w:hAnsi="Times New Roman"/>
        </w:rPr>
        <w:t>shareholder investments and total equity</w:t>
      </w:r>
      <w:r w:rsidR="00513EDF">
        <w:rPr>
          <w:rFonts w:ascii="Times New Roman" w:hAnsi="Times New Roman"/>
        </w:rPr>
        <w:t xml:space="preserve"> </w:t>
      </w:r>
      <w:r w:rsidR="00410BA1">
        <w:rPr>
          <w:rFonts w:ascii="Times New Roman" w:hAnsi="Times New Roman"/>
        </w:rPr>
        <w:t xml:space="preserve">reported </w:t>
      </w:r>
      <w:r w:rsidR="00513EDF">
        <w:rPr>
          <w:rFonts w:ascii="Times New Roman" w:hAnsi="Times New Roman"/>
        </w:rPr>
        <w:t>on the company’s financial statements</w:t>
      </w:r>
      <w:r w:rsidR="001335D3">
        <w:rPr>
          <w:rFonts w:ascii="Times New Roman" w:hAnsi="Times New Roman"/>
        </w:rPr>
        <w:t xml:space="preserve">. I feel that </w:t>
      </w:r>
      <w:r w:rsidR="00410BA1">
        <w:rPr>
          <w:rFonts w:ascii="Times New Roman" w:hAnsi="Times New Roman"/>
        </w:rPr>
        <w:t>the transfer</w:t>
      </w:r>
      <w:r w:rsidR="001335D3">
        <w:rPr>
          <w:rFonts w:ascii="Times New Roman" w:hAnsi="Times New Roman"/>
        </w:rPr>
        <w:t xml:space="preserve"> </w:t>
      </w:r>
      <w:r w:rsidR="00410BA1">
        <w:rPr>
          <w:rFonts w:ascii="Times New Roman" w:hAnsi="Times New Roman"/>
        </w:rPr>
        <w:t xml:space="preserve">of assets in the spinoff caused the drastic changes </w:t>
      </w:r>
      <w:r w:rsidR="001335D3">
        <w:rPr>
          <w:rFonts w:ascii="Times New Roman" w:hAnsi="Times New Roman"/>
        </w:rPr>
        <w:t xml:space="preserve">for Marriott in </w:t>
      </w:r>
      <w:r w:rsidR="00410BA1">
        <w:rPr>
          <w:rFonts w:ascii="Times New Roman" w:hAnsi="Times New Roman"/>
        </w:rPr>
        <w:t>2011</w:t>
      </w:r>
      <w:r w:rsidR="001335D3">
        <w:rPr>
          <w:rFonts w:ascii="Times New Roman" w:hAnsi="Times New Roman"/>
        </w:rPr>
        <w:t>.</w:t>
      </w:r>
    </w:p>
    <w:p w:rsidR="001234A5" w:rsidRPr="00EC05DA" w:rsidRDefault="00880768" w:rsidP="00EC05DA">
      <w:pPr>
        <w:spacing w:line="480" w:lineRule="auto"/>
        <w:rPr>
          <w:rFonts w:ascii="Times New Roman" w:hAnsi="Times New Roman"/>
          <w:u w:val="single"/>
        </w:rPr>
      </w:pPr>
      <w:r w:rsidRPr="00EC05DA">
        <w:rPr>
          <w:noProof/>
        </w:rPr>
        <w:drawing>
          <wp:inline distT="0" distB="0" distL="0" distR="0" wp14:anchorId="56C4BD78" wp14:editId="54A5962F">
            <wp:extent cx="6138407" cy="2568271"/>
            <wp:effectExtent l="0" t="0" r="1524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34A5" w:rsidRPr="00EC05DA" w:rsidRDefault="00754802" w:rsidP="00EC05DA">
      <w:pPr>
        <w:spacing w:line="480" w:lineRule="auto"/>
        <w:rPr>
          <w:rFonts w:ascii="Times New Roman" w:hAnsi="Times New Roman"/>
          <w:u w:val="single"/>
        </w:rPr>
      </w:pPr>
      <w:r w:rsidRPr="00EC05DA">
        <w:rPr>
          <w:rFonts w:ascii="Times New Roman" w:hAnsi="Times New Roman"/>
          <w:u w:val="single"/>
        </w:rPr>
        <w:t>Coverage Ratios</w:t>
      </w:r>
    </w:p>
    <w:p w:rsidR="00944E37" w:rsidRPr="00EC05DA" w:rsidRDefault="00B96402" w:rsidP="00EC05DA">
      <w:pPr>
        <w:spacing w:line="480" w:lineRule="auto"/>
        <w:ind w:firstLine="720"/>
        <w:rPr>
          <w:rFonts w:ascii="Times New Roman" w:hAnsi="Times New Roman"/>
        </w:rPr>
      </w:pPr>
      <w:r>
        <w:rPr>
          <w:rFonts w:ascii="Times New Roman" w:hAnsi="Times New Roman"/>
        </w:rPr>
        <w:t>Marriott’s</w:t>
      </w:r>
      <w:r w:rsidR="00944E37" w:rsidRPr="00EC05DA">
        <w:rPr>
          <w:rFonts w:ascii="Times New Roman" w:hAnsi="Times New Roman"/>
        </w:rPr>
        <w:t xml:space="preserve"> ratios (TIE and cash coverage) are with</w:t>
      </w:r>
      <w:r w:rsidR="00511706">
        <w:rPr>
          <w:rFonts w:ascii="Times New Roman" w:hAnsi="Times New Roman"/>
        </w:rPr>
        <w:t>in</w:t>
      </w:r>
      <w:r w:rsidR="00944E37" w:rsidRPr="00EC05DA">
        <w:rPr>
          <w:rFonts w:ascii="Times New Roman" w:hAnsi="Times New Roman"/>
        </w:rPr>
        <w:t xml:space="preserve"> </w:t>
      </w:r>
      <w:r w:rsidRPr="00EC05DA">
        <w:rPr>
          <w:rFonts w:ascii="Times New Roman" w:hAnsi="Times New Roman"/>
        </w:rPr>
        <w:t>the mid-range</w:t>
      </w:r>
      <w:r w:rsidRPr="00EC05DA">
        <w:rPr>
          <w:rFonts w:ascii="Times New Roman" w:hAnsi="Times New Roman"/>
        </w:rPr>
        <w:t xml:space="preserve"> </w:t>
      </w:r>
      <w:r w:rsidR="00511706">
        <w:rPr>
          <w:rFonts w:ascii="Times New Roman" w:hAnsi="Times New Roman"/>
        </w:rPr>
        <w:t>for the</w:t>
      </w:r>
      <w:r w:rsidR="00944E37" w:rsidRPr="00EC05DA">
        <w:rPr>
          <w:rFonts w:ascii="Times New Roman" w:hAnsi="Times New Roman"/>
        </w:rPr>
        <w:t xml:space="preserve"> industry</w:t>
      </w:r>
      <w:r w:rsidR="00003DFE">
        <w:rPr>
          <w:rFonts w:ascii="Times New Roman" w:hAnsi="Times New Roman"/>
        </w:rPr>
        <w:t>, averaging 3.41 and 4.57 respectively</w:t>
      </w:r>
      <w:r w:rsidR="00CB4749">
        <w:rPr>
          <w:rFonts w:ascii="Times New Roman" w:hAnsi="Times New Roman"/>
        </w:rPr>
        <w:t xml:space="preserve">. Industry competitors’ average: 2.71, 4.14 Starwood, 3.87, 8.6 Hyatt, and 2.78, .45 Wyndham.  </w:t>
      </w:r>
      <w:r w:rsidR="00944E37" w:rsidRPr="00EC05DA">
        <w:rPr>
          <w:rFonts w:ascii="Times New Roman" w:hAnsi="Times New Roman"/>
        </w:rPr>
        <w:t xml:space="preserve">Hyatt and Wyndham </w:t>
      </w:r>
      <w:r w:rsidR="00257C29">
        <w:rPr>
          <w:rFonts w:ascii="Times New Roman" w:hAnsi="Times New Roman"/>
        </w:rPr>
        <w:t>appear to hold more cash</w:t>
      </w:r>
      <w:r w:rsidR="00944E37" w:rsidRPr="00EC05DA">
        <w:rPr>
          <w:rFonts w:ascii="Times New Roman" w:hAnsi="Times New Roman"/>
        </w:rPr>
        <w:t xml:space="preserve"> than Marriott or Starwood</w:t>
      </w:r>
      <w:r w:rsidR="00257C29">
        <w:rPr>
          <w:rFonts w:ascii="Times New Roman" w:hAnsi="Times New Roman"/>
        </w:rPr>
        <w:t>, logically because they are younger firms.</w:t>
      </w:r>
      <w:r w:rsidR="00944E37" w:rsidRPr="00EC05DA">
        <w:rPr>
          <w:rFonts w:ascii="Times New Roman" w:hAnsi="Times New Roman"/>
        </w:rPr>
        <w:t xml:space="preserve"> </w:t>
      </w:r>
      <w:r w:rsidR="00257C29">
        <w:rPr>
          <w:rFonts w:ascii="Times New Roman" w:hAnsi="Times New Roman"/>
        </w:rPr>
        <w:t>T</w:t>
      </w:r>
      <w:r w:rsidR="00944E37" w:rsidRPr="00EC05DA">
        <w:rPr>
          <w:rFonts w:ascii="Times New Roman" w:hAnsi="Times New Roman"/>
        </w:rPr>
        <w:t xml:space="preserve">he industry </w:t>
      </w:r>
      <w:r w:rsidR="00257C29">
        <w:rPr>
          <w:rFonts w:ascii="Times New Roman" w:hAnsi="Times New Roman"/>
        </w:rPr>
        <w:t>clearly took a hit</w:t>
      </w:r>
      <w:r w:rsidR="00944E37" w:rsidRPr="00EC05DA">
        <w:rPr>
          <w:rFonts w:ascii="Times New Roman" w:hAnsi="Times New Roman"/>
        </w:rPr>
        <w:t xml:space="preserve"> due to the recession</w:t>
      </w:r>
      <w:r w:rsidR="00257C29">
        <w:rPr>
          <w:rFonts w:ascii="Times New Roman" w:hAnsi="Times New Roman"/>
        </w:rPr>
        <w:t xml:space="preserve">. Marriott, Starwood and Hyatt all take this reduction in 2009, and </w:t>
      </w:r>
      <w:r w:rsidR="001335D3">
        <w:rPr>
          <w:rFonts w:ascii="Times New Roman" w:hAnsi="Times New Roman"/>
        </w:rPr>
        <w:t xml:space="preserve">Wyndham </w:t>
      </w:r>
      <w:r w:rsidR="00257C29">
        <w:rPr>
          <w:rFonts w:ascii="Times New Roman" w:hAnsi="Times New Roman"/>
        </w:rPr>
        <w:t>is affected the in</w:t>
      </w:r>
      <w:r w:rsidR="001335D3">
        <w:rPr>
          <w:rFonts w:ascii="Times New Roman" w:hAnsi="Times New Roman"/>
        </w:rPr>
        <w:t xml:space="preserve"> 2008</w:t>
      </w:r>
      <w:r w:rsidR="00944E37" w:rsidRPr="00EC05DA">
        <w:rPr>
          <w:rFonts w:ascii="Times New Roman" w:hAnsi="Times New Roman"/>
        </w:rPr>
        <w:t>. The Cash Coverage is on the lower end for the industry due to their slightly higher reliance o</w:t>
      </w:r>
      <w:r w:rsidR="00257C29">
        <w:rPr>
          <w:rFonts w:ascii="Times New Roman" w:hAnsi="Times New Roman"/>
        </w:rPr>
        <w:t>n financing and long term debt</w:t>
      </w:r>
      <w:r w:rsidR="00944E37" w:rsidRPr="00EC05DA">
        <w:rPr>
          <w:rFonts w:ascii="Times New Roman" w:hAnsi="Times New Roman"/>
        </w:rPr>
        <w:t xml:space="preserve">. Over </w:t>
      </w:r>
      <w:r w:rsidR="00944E37" w:rsidRPr="00EC05DA">
        <w:rPr>
          <w:rFonts w:ascii="Times New Roman" w:hAnsi="Times New Roman"/>
        </w:rPr>
        <w:lastRenderedPageBreak/>
        <w:t>all Marriott appears to have good coverage and ability to meet financial obligations</w:t>
      </w:r>
      <w:r w:rsidR="002E5056">
        <w:rPr>
          <w:rFonts w:ascii="Times New Roman" w:hAnsi="Times New Roman"/>
        </w:rPr>
        <w:t xml:space="preserve"> and is closely comparable to the other firms in the </w:t>
      </w:r>
      <w:r w:rsidR="00762EB6">
        <w:rPr>
          <w:rFonts w:ascii="Times New Roman" w:hAnsi="Times New Roman"/>
        </w:rPr>
        <w:t>industry</w:t>
      </w:r>
      <w:r w:rsidR="00944E37" w:rsidRPr="00EC05DA">
        <w:rPr>
          <w:rFonts w:ascii="Times New Roman" w:hAnsi="Times New Roman"/>
        </w:rPr>
        <w:t xml:space="preserve">. </w:t>
      </w:r>
    </w:p>
    <w:p w:rsidR="001234A5" w:rsidRPr="00EC05DA" w:rsidRDefault="00880768" w:rsidP="00EC05DA">
      <w:pPr>
        <w:spacing w:line="480" w:lineRule="auto"/>
        <w:rPr>
          <w:rFonts w:ascii="Times New Roman" w:hAnsi="Times New Roman"/>
          <w:u w:val="single"/>
        </w:rPr>
      </w:pPr>
      <w:r w:rsidRPr="00EC05DA">
        <w:rPr>
          <w:noProof/>
        </w:rPr>
        <w:drawing>
          <wp:inline distT="0" distB="0" distL="0" distR="0" wp14:anchorId="6F7F70FF" wp14:editId="071EE45F">
            <wp:extent cx="5947576" cy="2623931"/>
            <wp:effectExtent l="0" t="0" r="1524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05A7" w:rsidRPr="00EC05DA" w:rsidRDefault="003505A7" w:rsidP="00EC05DA">
      <w:pPr>
        <w:spacing w:line="480" w:lineRule="auto"/>
        <w:rPr>
          <w:rFonts w:ascii="Times New Roman" w:hAnsi="Times New Roman"/>
          <w:u w:val="single"/>
        </w:rPr>
      </w:pPr>
      <w:r w:rsidRPr="00EC05DA">
        <w:rPr>
          <w:rFonts w:ascii="Times New Roman" w:hAnsi="Times New Roman"/>
          <w:u w:val="single"/>
        </w:rPr>
        <w:t>Liquidity Ratios</w:t>
      </w:r>
    </w:p>
    <w:p w:rsidR="00496E55" w:rsidRPr="00EC05DA" w:rsidRDefault="00F53E40" w:rsidP="00496E55">
      <w:pPr>
        <w:spacing w:line="480" w:lineRule="auto"/>
        <w:ind w:firstLine="720"/>
        <w:rPr>
          <w:rFonts w:ascii="Times New Roman" w:hAnsi="Times New Roman"/>
        </w:rPr>
      </w:pPr>
      <w:r>
        <w:rPr>
          <w:rFonts w:ascii="Times New Roman" w:hAnsi="Times New Roman"/>
        </w:rPr>
        <w:t>Marriott has mid-range ratios when compared to the industry</w:t>
      </w:r>
      <w:r w:rsidR="00FD21E4">
        <w:rPr>
          <w:rFonts w:ascii="Times New Roman" w:hAnsi="Times New Roman"/>
        </w:rPr>
        <w:t>.</w:t>
      </w:r>
      <w:r>
        <w:rPr>
          <w:rFonts w:ascii="Times New Roman" w:hAnsi="Times New Roman"/>
        </w:rPr>
        <w:t xml:space="preserve"> </w:t>
      </w:r>
      <w:r w:rsidR="00FD21E4">
        <w:rPr>
          <w:rFonts w:ascii="Times New Roman" w:hAnsi="Times New Roman"/>
        </w:rPr>
        <w:t>I</w:t>
      </w:r>
      <w:r>
        <w:rPr>
          <w:rFonts w:ascii="Times New Roman" w:hAnsi="Times New Roman"/>
        </w:rPr>
        <w:t xml:space="preserve">n 2011 they have significantly lower current, quick, and cash ratios; the lowest in the industry. </w:t>
      </w:r>
      <w:r w:rsidR="00FD21E4">
        <w:rPr>
          <w:rFonts w:ascii="Times New Roman" w:hAnsi="Times New Roman"/>
        </w:rPr>
        <w:t>This is the only year where Marriott’s liquidity ratios</w:t>
      </w:r>
      <w:r>
        <w:rPr>
          <w:rFonts w:ascii="Times New Roman" w:hAnsi="Times New Roman"/>
        </w:rPr>
        <w:t xml:space="preserve"> fall below one, suggesting that the firm is overleveraged and would be unable to pay of its obligations if they were called. Their turnover </w:t>
      </w:r>
      <w:r w:rsidR="00496E55">
        <w:rPr>
          <w:rFonts w:ascii="Times New Roman" w:hAnsi="Times New Roman"/>
        </w:rPr>
        <w:t>periods</w:t>
      </w:r>
      <w:r>
        <w:rPr>
          <w:rFonts w:ascii="Times New Roman" w:hAnsi="Times New Roman"/>
        </w:rPr>
        <w:t xml:space="preserve"> do not </w:t>
      </w:r>
      <w:r w:rsidR="00496E55">
        <w:rPr>
          <w:rFonts w:ascii="Times New Roman" w:hAnsi="Times New Roman"/>
        </w:rPr>
        <w:t>indicate</w:t>
      </w:r>
      <w:r>
        <w:rPr>
          <w:rFonts w:ascii="Times New Roman" w:hAnsi="Times New Roman"/>
        </w:rPr>
        <w:t xml:space="preserve"> that they are having problems converting money, however all of their liquidity ratios are low in 2011</w:t>
      </w:r>
      <w:r w:rsidR="00496E55">
        <w:rPr>
          <w:rFonts w:ascii="Times New Roman" w:hAnsi="Times New Roman"/>
        </w:rPr>
        <w:t xml:space="preserve">. </w:t>
      </w:r>
      <w:r w:rsidR="00FD21E4">
        <w:rPr>
          <w:rFonts w:ascii="Times New Roman" w:hAnsi="Times New Roman"/>
        </w:rPr>
        <w:t>W</w:t>
      </w:r>
      <w:r w:rsidR="00496E55">
        <w:rPr>
          <w:rFonts w:ascii="Times New Roman" w:hAnsi="Times New Roman"/>
        </w:rPr>
        <w:t xml:space="preserve">e can see the major effect that the spinoff from the timeshare industry has had on the company. In 2011 total assets decreased by just over 3 billion dollars, current assets by just over 2 billion. Current liabilities rose about 580 thousand; </w:t>
      </w:r>
      <w:r w:rsidR="00FD21E4">
        <w:rPr>
          <w:rFonts w:ascii="Times New Roman" w:hAnsi="Times New Roman"/>
        </w:rPr>
        <w:t xml:space="preserve">these drastic changes are the </w:t>
      </w:r>
      <w:r w:rsidR="00496E55">
        <w:rPr>
          <w:rFonts w:ascii="Times New Roman" w:hAnsi="Times New Roman"/>
        </w:rPr>
        <w:t xml:space="preserve">reason </w:t>
      </w:r>
      <w:r w:rsidR="00FC5346">
        <w:rPr>
          <w:rFonts w:ascii="Times New Roman" w:hAnsi="Times New Roman"/>
        </w:rPr>
        <w:t>for the skewed</w:t>
      </w:r>
      <w:r w:rsidR="00496E55">
        <w:rPr>
          <w:rFonts w:ascii="Times New Roman" w:hAnsi="Times New Roman"/>
        </w:rPr>
        <w:t xml:space="preserve"> current ratio. </w:t>
      </w:r>
      <w:r w:rsidR="00FC5346">
        <w:rPr>
          <w:rFonts w:ascii="Times New Roman" w:hAnsi="Times New Roman"/>
        </w:rPr>
        <w:t>Most</w:t>
      </w:r>
      <w:r w:rsidR="00496E55">
        <w:rPr>
          <w:rFonts w:ascii="Times New Roman" w:hAnsi="Times New Roman"/>
        </w:rPr>
        <w:t xml:space="preserve"> likely</w:t>
      </w:r>
      <w:r w:rsidR="00FC5346">
        <w:rPr>
          <w:rFonts w:ascii="Times New Roman" w:hAnsi="Times New Roman"/>
        </w:rPr>
        <w:t xml:space="preserve"> caused by </w:t>
      </w:r>
      <w:r w:rsidR="00496E55">
        <w:rPr>
          <w:rFonts w:ascii="Times New Roman" w:hAnsi="Times New Roman"/>
        </w:rPr>
        <w:t xml:space="preserve">the spinoff, and increased obligations by trying to expand managed and franchised operations.  Inventory was reduced </w:t>
      </w:r>
      <w:r w:rsidR="00496E55" w:rsidRPr="00EC05DA">
        <w:rPr>
          <w:rFonts w:ascii="Times New Roman" w:hAnsi="Times New Roman"/>
        </w:rPr>
        <w:t>to only 11 million from over 1 billion the previous year</w:t>
      </w:r>
      <w:r w:rsidR="00496E55">
        <w:rPr>
          <w:rFonts w:ascii="Times New Roman" w:hAnsi="Times New Roman"/>
        </w:rPr>
        <w:t xml:space="preserve">. Cash was reduced in this same year by about 400 million dollars. </w:t>
      </w:r>
      <w:r w:rsidR="00762EB6">
        <w:rPr>
          <w:rFonts w:ascii="Times New Roman" w:hAnsi="Times New Roman"/>
        </w:rPr>
        <w:t xml:space="preserve">Many of these reductions were caused by the transfer of the timeshare holdings to the separate entity which is not part of Marriott International. </w:t>
      </w:r>
    </w:p>
    <w:p w:rsidR="00990AB8" w:rsidRPr="00F53E40" w:rsidRDefault="00990AB8" w:rsidP="00EC05DA">
      <w:pPr>
        <w:spacing w:line="480" w:lineRule="auto"/>
        <w:rPr>
          <w:rFonts w:ascii="Times New Roman" w:hAnsi="Times New Roman"/>
        </w:rPr>
      </w:pPr>
    </w:p>
    <w:p w:rsidR="003505A7" w:rsidRPr="00EC05DA" w:rsidRDefault="00880768" w:rsidP="00EC05DA">
      <w:pPr>
        <w:spacing w:line="480" w:lineRule="auto"/>
        <w:rPr>
          <w:rFonts w:ascii="Times New Roman" w:hAnsi="Times New Roman"/>
          <w:u w:val="single"/>
        </w:rPr>
      </w:pPr>
      <w:r w:rsidRPr="00EC05DA">
        <w:rPr>
          <w:noProof/>
        </w:rPr>
        <w:drawing>
          <wp:inline distT="0" distB="0" distL="0" distR="0" wp14:anchorId="472BBC0C" wp14:editId="73D9E04A">
            <wp:extent cx="5947576" cy="2226365"/>
            <wp:effectExtent l="0" t="0" r="1524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5A7" w:rsidRPr="00EC05DA" w:rsidRDefault="00754802" w:rsidP="00EC05DA">
      <w:pPr>
        <w:spacing w:line="480" w:lineRule="auto"/>
        <w:rPr>
          <w:rFonts w:ascii="Times New Roman" w:hAnsi="Times New Roman"/>
          <w:u w:val="single"/>
        </w:rPr>
      </w:pPr>
      <w:r w:rsidRPr="00EC05DA">
        <w:rPr>
          <w:rFonts w:ascii="Times New Roman" w:hAnsi="Times New Roman"/>
          <w:u w:val="single"/>
        </w:rPr>
        <w:t xml:space="preserve">Turnover Ratios </w:t>
      </w:r>
    </w:p>
    <w:p w:rsidR="00944E37" w:rsidRPr="00EC05DA" w:rsidRDefault="00754802" w:rsidP="00762EB6">
      <w:pPr>
        <w:spacing w:line="480" w:lineRule="auto"/>
        <w:ind w:firstLine="720"/>
        <w:rPr>
          <w:rFonts w:ascii="Times New Roman" w:hAnsi="Times New Roman"/>
        </w:rPr>
      </w:pPr>
      <w:r w:rsidRPr="00EC05DA">
        <w:rPr>
          <w:rFonts w:ascii="Times New Roman" w:hAnsi="Times New Roman"/>
        </w:rPr>
        <w:t>Marriott has the second highest receivables turnover</w:t>
      </w:r>
      <w:r w:rsidR="00E6177E">
        <w:rPr>
          <w:rFonts w:ascii="Times New Roman" w:hAnsi="Times New Roman"/>
        </w:rPr>
        <w:t>,</w:t>
      </w:r>
      <w:r w:rsidRPr="00EC05DA">
        <w:rPr>
          <w:rFonts w:ascii="Times New Roman" w:hAnsi="Times New Roman"/>
        </w:rPr>
        <w:t xml:space="preserve"> implying that they are effective in extending credit</w:t>
      </w:r>
      <w:r w:rsidR="00762EB6">
        <w:rPr>
          <w:rFonts w:ascii="Times New Roman" w:hAnsi="Times New Roman"/>
        </w:rPr>
        <w:t xml:space="preserve"> to customers and that they are also able to collect on that. Although </w:t>
      </w:r>
      <w:r w:rsidR="00E6177E">
        <w:rPr>
          <w:rFonts w:ascii="Times New Roman" w:hAnsi="Times New Roman"/>
        </w:rPr>
        <w:t>t</w:t>
      </w:r>
      <w:r w:rsidR="00762EB6">
        <w:rPr>
          <w:rFonts w:ascii="Times New Roman" w:hAnsi="Times New Roman"/>
        </w:rPr>
        <w:t xml:space="preserve">he second highest in the industry the ratios </w:t>
      </w:r>
      <w:r w:rsidR="00E6177E">
        <w:rPr>
          <w:rFonts w:ascii="Times New Roman" w:hAnsi="Times New Roman"/>
        </w:rPr>
        <w:t>comparable</w:t>
      </w:r>
      <w:r w:rsidR="00762EB6">
        <w:rPr>
          <w:rFonts w:ascii="Times New Roman" w:hAnsi="Times New Roman"/>
        </w:rPr>
        <w:t xml:space="preserve"> with the exception of the Wyndham</w:t>
      </w:r>
      <w:r w:rsidR="00E6177E">
        <w:rPr>
          <w:rFonts w:ascii="Times New Roman" w:hAnsi="Times New Roman"/>
        </w:rPr>
        <w:t>. The Wyndham</w:t>
      </w:r>
      <w:r w:rsidR="00762EB6">
        <w:rPr>
          <w:rFonts w:ascii="Times New Roman" w:hAnsi="Times New Roman"/>
        </w:rPr>
        <w:t xml:space="preserve"> has considerably lower receivables </w:t>
      </w:r>
      <w:r w:rsidR="0013079C">
        <w:rPr>
          <w:rFonts w:ascii="Times New Roman" w:hAnsi="Times New Roman"/>
        </w:rPr>
        <w:t>than the</w:t>
      </w:r>
      <w:r w:rsidR="00762EB6">
        <w:rPr>
          <w:rFonts w:ascii="Times New Roman" w:hAnsi="Times New Roman"/>
        </w:rPr>
        <w:t xml:space="preserve"> other firms.  </w:t>
      </w:r>
      <w:r w:rsidR="00E6177E">
        <w:rPr>
          <w:rFonts w:ascii="Times New Roman" w:hAnsi="Times New Roman"/>
        </w:rPr>
        <w:t>Marriott’s</w:t>
      </w:r>
      <w:r w:rsidR="0013079C">
        <w:rPr>
          <w:rFonts w:ascii="Times New Roman" w:hAnsi="Times New Roman"/>
        </w:rPr>
        <w:t xml:space="preserve"> rece</w:t>
      </w:r>
      <w:r w:rsidR="00E6177E">
        <w:rPr>
          <w:rFonts w:ascii="Times New Roman" w:hAnsi="Times New Roman"/>
        </w:rPr>
        <w:t xml:space="preserve">ivables period is about a month, </w:t>
      </w:r>
      <w:r w:rsidR="0013079C">
        <w:rPr>
          <w:rFonts w:ascii="Times New Roman" w:hAnsi="Times New Roman"/>
        </w:rPr>
        <w:t xml:space="preserve">similar to the Hyatt; however Starwood and Wyndham have much longer periods in 2011 being 127, and 78 days respectively.  </w:t>
      </w:r>
      <w:r w:rsidR="00E6177E">
        <w:rPr>
          <w:rFonts w:ascii="Times New Roman" w:hAnsi="Times New Roman"/>
        </w:rPr>
        <w:t>It is logical that</w:t>
      </w:r>
      <w:r w:rsidR="0013079C">
        <w:rPr>
          <w:rFonts w:ascii="Times New Roman" w:hAnsi="Times New Roman"/>
        </w:rPr>
        <w:t xml:space="preserve"> Marriott’s period would be this length</w:t>
      </w:r>
      <w:r w:rsidR="00762EB6">
        <w:rPr>
          <w:rFonts w:ascii="Times New Roman" w:hAnsi="Times New Roman"/>
        </w:rPr>
        <w:t xml:space="preserve"> because many of the revenues generated in this industry are either paid by credit card, or are on</w:t>
      </w:r>
      <w:r w:rsidR="0013079C">
        <w:rPr>
          <w:rFonts w:ascii="Times New Roman" w:hAnsi="Times New Roman"/>
        </w:rPr>
        <w:t xml:space="preserve"> a business account typically paid at the end of a month</w:t>
      </w:r>
      <w:r w:rsidR="00E6177E">
        <w:rPr>
          <w:rFonts w:ascii="Times New Roman" w:hAnsi="Times New Roman"/>
        </w:rPr>
        <w:t xml:space="preserve"> or quarterly</w:t>
      </w:r>
      <w:r w:rsidR="0013079C">
        <w:rPr>
          <w:rFonts w:ascii="Times New Roman" w:hAnsi="Times New Roman"/>
        </w:rPr>
        <w:t xml:space="preserve">. </w:t>
      </w:r>
    </w:p>
    <w:p w:rsidR="001234A5" w:rsidRPr="00EC05DA" w:rsidRDefault="00754802" w:rsidP="00EC05DA">
      <w:pPr>
        <w:spacing w:line="480" w:lineRule="auto"/>
        <w:rPr>
          <w:rFonts w:ascii="Times New Roman" w:hAnsi="Times New Roman"/>
        </w:rPr>
      </w:pPr>
      <w:r w:rsidRPr="00EC05DA">
        <w:rPr>
          <w:rFonts w:ascii="Times New Roman" w:hAnsi="Times New Roman"/>
        </w:rPr>
        <w:t>.</w:t>
      </w:r>
      <w:r w:rsidR="00944E37" w:rsidRPr="00EC05DA">
        <w:rPr>
          <w:noProof/>
        </w:rPr>
        <w:drawing>
          <wp:inline distT="0" distB="0" distL="0" distR="0" wp14:anchorId="087E5F1D" wp14:editId="7313821F">
            <wp:extent cx="5828306" cy="1940118"/>
            <wp:effectExtent l="0" t="0" r="2032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34A5" w:rsidRPr="00EC05DA" w:rsidRDefault="00E6177E" w:rsidP="00EC05DA">
      <w:pPr>
        <w:spacing w:line="480" w:lineRule="auto"/>
        <w:ind w:firstLine="720"/>
        <w:rPr>
          <w:rFonts w:ascii="Times New Roman" w:hAnsi="Times New Roman"/>
        </w:rPr>
      </w:pPr>
      <w:r>
        <w:rPr>
          <w:rFonts w:ascii="Times New Roman" w:hAnsi="Times New Roman"/>
        </w:rPr>
        <w:lastRenderedPageBreak/>
        <w:t>Marriott’s</w:t>
      </w:r>
      <w:r w:rsidR="00754802" w:rsidRPr="00EC05DA">
        <w:rPr>
          <w:rFonts w:ascii="Times New Roman" w:hAnsi="Times New Roman"/>
        </w:rPr>
        <w:t xml:space="preserve"> inventory turnover is on the low end </w:t>
      </w:r>
      <w:r>
        <w:rPr>
          <w:rFonts w:ascii="Times New Roman" w:hAnsi="Times New Roman"/>
        </w:rPr>
        <w:t>of the comparison,</w:t>
      </w:r>
      <w:r w:rsidR="00754802" w:rsidRPr="00EC05DA">
        <w:rPr>
          <w:rFonts w:ascii="Times New Roman" w:hAnsi="Times New Roman"/>
        </w:rPr>
        <w:t xml:space="preserve"> implying excess inventory</w:t>
      </w:r>
      <w:r>
        <w:rPr>
          <w:rFonts w:ascii="Times New Roman" w:hAnsi="Times New Roman"/>
        </w:rPr>
        <w:t xml:space="preserve"> in relation to other firms. H</w:t>
      </w:r>
      <w:r w:rsidR="00754802" w:rsidRPr="00EC05DA">
        <w:rPr>
          <w:rFonts w:ascii="Times New Roman" w:hAnsi="Times New Roman"/>
        </w:rPr>
        <w:t xml:space="preserve">owever </w:t>
      </w:r>
      <w:r w:rsidR="0024486B">
        <w:rPr>
          <w:rFonts w:ascii="Times New Roman" w:hAnsi="Times New Roman"/>
        </w:rPr>
        <w:t xml:space="preserve">the inventory in the hotel business is a bit fuzzy and is not the most liquid. </w:t>
      </w:r>
      <w:r>
        <w:rPr>
          <w:rFonts w:ascii="Times New Roman" w:hAnsi="Times New Roman"/>
        </w:rPr>
        <w:t xml:space="preserve">2011’s inventory is an outlier; this drastic change is a result of </w:t>
      </w:r>
      <w:r w:rsidR="0024486B">
        <w:rPr>
          <w:rFonts w:ascii="Times New Roman" w:hAnsi="Times New Roman"/>
        </w:rPr>
        <w:t>the time share business spin off.</w:t>
      </w:r>
      <w:r w:rsidR="00754802" w:rsidRPr="00EC05DA">
        <w:rPr>
          <w:rFonts w:ascii="Times New Roman" w:hAnsi="Times New Roman"/>
        </w:rPr>
        <w:t xml:space="preserve"> This </w:t>
      </w:r>
      <w:r w:rsidR="0024486B">
        <w:rPr>
          <w:rFonts w:ascii="Times New Roman" w:hAnsi="Times New Roman"/>
        </w:rPr>
        <w:t>spin</w:t>
      </w:r>
      <w:r w:rsidR="00754802" w:rsidRPr="00EC05DA">
        <w:rPr>
          <w:rFonts w:ascii="Times New Roman" w:hAnsi="Times New Roman"/>
        </w:rPr>
        <w:t xml:space="preserve">off </w:t>
      </w:r>
      <w:r w:rsidR="0024486B">
        <w:rPr>
          <w:rFonts w:ascii="Times New Roman" w:hAnsi="Times New Roman"/>
        </w:rPr>
        <w:t>transferred a tremendous amount of</w:t>
      </w:r>
      <w:r w:rsidR="00754802" w:rsidRPr="00EC05DA">
        <w:rPr>
          <w:rFonts w:ascii="Times New Roman" w:hAnsi="Times New Roman"/>
        </w:rPr>
        <w:t xml:space="preserve"> inventory, reducing </w:t>
      </w:r>
      <w:r w:rsidR="0024486B" w:rsidRPr="00EC05DA">
        <w:rPr>
          <w:rFonts w:ascii="Times New Roman" w:hAnsi="Times New Roman"/>
        </w:rPr>
        <w:t>it</w:t>
      </w:r>
      <w:r w:rsidR="0024486B">
        <w:rPr>
          <w:rFonts w:ascii="Times New Roman" w:hAnsi="Times New Roman"/>
        </w:rPr>
        <w:t xml:space="preserve">s inventory </w:t>
      </w:r>
      <w:r w:rsidR="00762EB6">
        <w:rPr>
          <w:rFonts w:ascii="Times New Roman" w:hAnsi="Times New Roman"/>
        </w:rPr>
        <w:t xml:space="preserve">by over 900 </w:t>
      </w:r>
      <w:r w:rsidR="00754802" w:rsidRPr="00EC05DA">
        <w:rPr>
          <w:rFonts w:ascii="Times New Roman" w:hAnsi="Times New Roman"/>
        </w:rPr>
        <w:t>million from the previous year, increasing the ratio.</w:t>
      </w:r>
    </w:p>
    <w:tbl>
      <w:tblPr>
        <w:tblW w:w="7752" w:type="dxa"/>
        <w:jc w:val="center"/>
        <w:tblInd w:w="93" w:type="dxa"/>
        <w:tblLook w:val="04A0" w:firstRow="1" w:lastRow="0" w:firstColumn="1" w:lastColumn="0" w:noHBand="0" w:noVBand="1"/>
      </w:tblPr>
      <w:tblGrid>
        <w:gridCol w:w="1727"/>
        <w:gridCol w:w="1318"/>
        <w:gridCol w:w="1318"/>
        <w:gridCol w:w="1318"/>
        <w:gridCol w:w="1318"/>
        <w:gridCol w:w="1318"/>
      </w:tblGrid>
      <w:tr w:rsidR="00E3241B" w:rsidRPr="00E3241B" w:rsidTr="002A10A6">
        <w:trPr>
          <w:trHeight w:val="255"/>
          <w:jc w:val="center"/>
        </w:trPr>
        <w:tc>
          <w:tcPr>
            <w:tcW w:w="77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center"/>
              <w:rPr>
                <w:rFonts w:ascii="Arial" w:eastAsia="Times New Roman" w:hAnsi="Arial" w:cs="Arial"/>
              </w:rPr>
            </w:pPr>
            <w:r w:rsidRPr="00E3241B">
              <w:rPr>
                <w:rFonts w:ascii="Arial" w:eastAsia="Times New Roman" w:hAnsi="Arial" w:cs="Arial"/>
              </w:rPr>
              <w:t xml:space="preserve">Inventory </w:t>
            </w:r>
            <w:r w:rsidR="002A10A6" w:rsidRPr="00EC05DA">
              <w:rPr>
                <w:rFonts w:ascii="Arial" w:eastAsia="Times New Roman" w:hAnsi="Arial" w:cs="Arial"/>
              </w:rPr>
              <w:t>Turnover</w:t>
            </w:r>
          </w:p>
        </w:tc>
      </w:tr>
      <w:tr w:rsidR="002A10A6" w:rsidRPr="00EC05DA" w:rsidTr="002A10A6">
        <w:trPr>
          <w:trHeight w:val="269"/>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Calibri" w:eastAsia="Times New Roman" w:hAnsi="Calibri" w:cs="Calibri"/>
                <w:color w:val="000000"/>
              </w:rPr>
            </w:pP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12/30/2011</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12/31/2010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01/01/2010</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01/02/2009</w:t>
            </w:r>
          </w:p>
        </w:tc>
        <w:tc>
          <w:tcPr>
            <w:tcW w:w="1205"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12/28/2007</w:t>
            </w:r>
          </w:p>
        </w:tc>
      </w:tr>
      <w:tr w:rsidR="002A10A6" w:rsidRPr="00EC05DA" w:rsidTr="002A10A6">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Marriott</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1071.91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7.38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7.66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6.10</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7.58</w:t>
            </w:r>
          </w:p>
        </w:tc>
      </w:tr>
      <w:tr w:rsidR="002A10A6" w:rsidRPr="00EC05DA" w:rsidTr="002A10A6">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Starwood</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39.91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40.16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38.81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37.14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39.51</w:t>
            </w:r>
          </w:p>
        </w:tc>
      </w:tr>
      <w:tr w:rsidR="002A10A6" w:rsidRPr="00EC05DA" w:rsidTr="002A10A6">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Calibri" w:eastAsia="Times New Roman" w:hAnsi="Calibri" w:cs="Calibri"/>
                <w:color w:val="000000"/>
              </w:rPr>
            </w:pPr>
            <w:r w:rsidRPr="00E3241B">
              <w:rPr>
                <w:rFonts w:ascii="Calibri" w:eastAsia="Times New Roman" w:hAnsi="Calibri" w:cs="Calibri"/>
                <w:color w:val="000000"/>
              </w:rPr>
              <w:t>Hyatt</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 xml:space="preserve">     77.99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 xml:space="preserve">     65.59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 xml:space="preserve">     47.35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 xml:space="preserve">     39.39 </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Arial" w:eastAsia="Times New Roman" w:hAnsi="Arial" w:cs="Arial"/>
              </w:rPr>
            </w:pPr>
            <w:r w:rsidRPr="00E3241B">
              <w:rPr>
                <w:rFonts w:ascii="Arial" w:eastAsia="Times New Roman" w:hAnsi="Arial" w:cs="Arial"/>
              </w:rPr>
              <w:t xml:space="preserve">     43.28 </w:t>
            </w:r>
          </w:p>
        </w:tc>
      </w:tr>
      <w:tr w:rsidR="002A10A6" w:rsidRPr="00EC05DA" w:rsidTr="002A10A6">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rPr>
                <w:rFonts w:ascii="Calibri" w:eastAsia="Times New Roman" w:hAnsi="Calibri" w:cs="Calibri"/>
                <w:color w:val="000000"/>
              </w:rPr>
            </w:pPr>
            <w:r w:rsidRPr="00E3241B">
              <w:rPr>
                <w:rFonts w:ascii="Calibri" w:eastAsia="Times New Roman" w:hAnsi="Calibri" w:cs="Calibri"/>
                <w:color w:val="000000"/>
              </w:rPr>
              <w:t>Wyndham</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5.07</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4.56</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4.24</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3.92</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41B" w:rsidRPr="00E3241B" w:rsidRDefault="00E3241B" w:rsidP="00EC05DA">
            <w:pPr>
              <w:spacing w:after="0" w:line="480" w:lineRule="auto"/>
              <w:jc w:val="right"/>
              <w:rPr>
                <w:rFonts w:ascii="Arial" w:eastAsia="Times New Roman" w:hAnsi="Arial" w:cs="Arial"/>
              </w:rPr>
            </w:pPr>
            <w:r w:rsidRPr="00E3241B">
              <w:rPr>
                <w:rFonts w:ascii="Arial" w:eastAsia="Times New Roman" w:hAnsi="Arial" w:cs="Arial"/>
              </w:rPr>
              <w:t>2.97</w:t>
            </w:r>
          </w:p>
        </w:tc>
      </w:tr>
    </w:tbl>
    <w:p w:rsidR="001234A5" w:rsidRPr="00EC05DA" w:rsidRDefault="002A10A6" w:rsidP="00EC05DA">
      <w:pPr>
        <w:spacing w:line="480" w:lineRule="auto"/>
        <w:rPr>
          <w:rFonts w:ascii="Times New Roman" w:hAnsi="Times New Roman"/>
        </w:rPr>
      </w:pPr>
      <w:r w:rsidRPr="00EC05DA">
        <w:rPr>
          <w:rFonts w:ascii="Times New Roman" w:hAnsi="Times New Roman"/>
        </w:rPr>
        <w:br/>
      </w:r>
      <w:r w:rsidRPr="00EC05DA">
        <w:rPr>
          <w:rFonts w:ascii="Times New Roman" w:hAnsi="Times New Roman"/>
        </w:rPr>
        <w:tab/>
      </w:r>
      <w:r w:rsidR="0054763F">
        <w:rPr>
          <w:rFonts w:ascii="Times New Roman" w:hAnsi="Times New Roman"/>
        </w:rPr>
        <w:t>P</w:t>
      </w:r>
      <w:r w:rsidR="00754802" w:rsidRPr="00EC05DA">
        <w:rPr>
          <w:rFonts w:ascii="Times New Roman" w:hAnsi="Times New Roman"/>
        </w:rPr>
        <w:t>ayables turnover for Marriott is consistently higher for the five ye</w:t>
      </w:r>
      <w:r w:rsidR="0054763F">
        <w:rPr>
          <w:rFonts w:ascii="Times New Roman" w:hAnsi="Times New Roman"/>
        </w:rPr>
        <w:t xml:space="preserve">ar period than the other firms. </w:t>
      </w:r>
      <w:r w:rsidR="00754802" w:rsidRPr="00EC05DA">
        <w:rPr>
          <w:rFonts w:ascii="Times New Roman" w:hAnsi="Times New Roman"/>
        </w:rPr>
        <w:t xml:space="preserve">Hyatt </w:t>
      </w:r>
      <w:r w:rsidR="0054763F">
        <w:rPr>
          <w:rFonts w:ascii="Times New Roman" w:hAnsi="Times New Roman"/>
        </w:rPr>
        <w:t xml:space="preserve">was the only other firm to have </w:t>
      </w:r>
      <w:r w:rsidR="00754802" w:rsidRPr="00EC05DA">
        <w:rPr>
          <w:rFonts w:ascii="Times New Roman" w:hAnsi="Times New Roman"/>
        </w:rPr>
        <w:t>double digit figure</w:t>
      </w:r>
      <w:r w:rsidR="0054763F">
        <w:rPr>
          <w:rFonts w:ascii="Times New Roman" w:hAnsi="Times New Roman"/>
        </w:rPr>
        <w:t xml:space="preserve">s, </w:t>
      </w:r>
      <w:r w:rsidR="00754802" w:rsidRPr="00EC05DA">
        <w:rPr>
          <w:rFonts w:ascii="Times New Roman" w:hAnsi="Times New Roman"/>
        </w:rPr>
        <w:t xml:space="preserve">10.19 </w:t>
      </w:r>
      <w:r w:rsidR="0054763F">
        <w:rPr>
          <w:rFonts w:ascii="Times New Roman" w:hAnsi="Times New Roman"/>
        </w:rPr>
        <w:t xml:space="preserve">in 2011 </w:t>
      </w:r>
      <w:r w:rsidR="00754802" w:rsidRPr="00EC05DA">
        <w:rPr>
          <w:rFonts w:ascii="Times New Roman" w:hAnsi="Times New Roman"/>
        </w:rPr>
        <w:t>and 10.3</w:t>
      </w:r>
      <w:r w:rsidR="0054763F">
        <w:rPr>
          <w:rFonts w:ascii="Times New Roman" w:hAnsi="Times New Roman"/>
        </w:rPr>
        <w:t xml:space="preserve"> in 2010</w:t>
      </w:r>
      <w:r w:rsidR="00754802" w:rsidRPr="00EC05DA">
        <w:rPr>
          <w:rFonts w:ascii="Times New Roman" w:hAnsi="Times New Roman"/>
        </w:rPr>
        <w:t>. In reviewing the company’s financials it is clear</w:t>
      </w:r>
      <w:r w:rsidR="005C0738">
        <w:rPr>
          <w:rFonts w:ascii="Times New Roman" w:hAnsi="Times New Roman"/>
        </w:rPr>
        <w:t xml:space="preserve"> that Marriott has a larger</w:t>
      </w:r>
      <w:r w:rsidR="00754802" w:rsidRPr="00EC05DA">
        <w:rPr>
          <w:rFonts w:ascii="Times New Roman" w:hAnsi="Times New Roman"/>
        </w:rPr>
        <w:t xml:space="preserve"> accounts payable than the other firms</w:t>
      </w:r>
      <w:r w:rsidR="0054763F">
        <w:rPr>
          <w:rFonts w:ascii="Times New Roman" w:hAnsi="Times New Roman"/>
        </w:rPr>
        <w:t>. I</w:t>
      </w:r>
      <w:r w:rsidR="00754802" w:rsidRPr="00EC05DA">
        <w:rPr>
          <w:rFonts w:ascii="Times New Roman" w:hAnsi="Times New Roman"/>
        </w:rPr>
        <w:t>n 2011 it was 270 million higher than the next largest among the industry</w:t>
      </w:r>
      <w:r w:rsidR="005C0738">
        <w:rPr>
          <w:rFonts w:ascii="Times New Roman" w:hAnsi="Times New Roman"/>
        </w:rPr>
        <w:t xml:space="preserve"> and </w:t>
      </w:r>
      <w:r w:rsidR="0054763F">
        <w:rPr>
          <w:rFonts w:ascii="Times New Roman" w:hAnsi="Times New Roman"/>
        </w:rPr>
        <w:t>it was a reduction from the previous year</w:t>
      </w:r>
      <w:r w:rsidR="00754802" w:rsidRPr="00EC05DA">
        <w:rPr>
          <w:rFonts w:ascii="Times New Roman" w:hAnsi="Times New Roman"/>
        </w:rPr>
        <w:t xml:space="preserve">. </w:t>
      </w:r>
      <w:r w:rsidR="005C0738">
        <w:rPr>
          <w:rFonts w:ascii="Times New Roman" w:hAnsi="Times New Roman"/>
        </w:rPr>
        <w:t xml:space="preserve">In </w:t>
      </w:r>
      <w:r w:rsidR="0054763F">
        <w:rPr>
          <w:rFonts w:ascii="Times New Roman" w:hAnsi="Times New Roman"/>
        </w:rPr>
        <w:t>2011</w:t>
      </w:r>
      <w:r w:rsidR="005C0738">
        <w:rPr>
          <w:rFonts w:ascii="Times New Roman" w:hAnsi="Times New Roman"/>
        </w:rPr>
        <w:t xml:space="preserve"> operating expenses increas</w:t>
      </w:r>
      <w:r w:rsidR="0054763F">
        <w:rPr>
          <w:rFonts w:ascii="Times New Roman" w:hAnsi="Times New Roman"/>
        </w:rPr>
        <w:t>ed by almost 90 million dollars.  This renders</w:t>
      </w:r>
      <w:r w:rsidR="0054763F">
        <w:rPr>
          <w:rFonts w:ascii="Times New Roman" w:hAnsi="Times New Roman"/>
        </w:rPr>
        <w:t xml:space="preserve"> Marriott International</w:t>
      </w:r>
      <w:r w:rsidR="0054763F">
        <w:rPr>
          <w:rFonts w:ascii="Times New Roman" w:hAnsi="Times New Roman"/>
        </w:rPr>
        <w:t>’s reliance of financing and greater</w:t>
      </w:r>
      <w:r w:rsidR="005C0738">
        <w:rPr>
          <w:rFonts w:ascii="Times New Roman" w:hAnsi="Times New Roman"/>
        </w:rPr>
        <w:t xml:space="preserve"> use of debt than the other firms.</w:t>
      </w:r>
      <w:r w:rsidR="0054763F">
        <w:rPr>
          <w:rFonts w:ascii="Times New Roman" w:hAnsi="Times New Roman"/>
        </w:rPr>
        <w:t xml:space="preserve"> </w:t>
      </w:r>
      <w:r w:rsidR="005C0738">
        <w:rPr>
          <w:rFonts w:ascii="Times New Roman" w:hAnsi="Times New Roman"/>
        </w:rPr>
        <w:t xml:space="preserve"> </w:t>
      </w:r>
      <w:r w:rsidR="0054763F">
        <w:rPr>
          <w:rFonts w:ascii="Times New Roman" w:hAnsi="Times New Roman"/>
        </w:rPr>
        <w:t xml:space="preserve">Another indicator is Marriott’s </w:t>
      </w:r>
      <w:r w:rsidR="005C0738">
        <w:rPr>
          <w:rFonts w:ascii="Times New Roman" w:hAnsi="Times New Roman"/>
        </w:rPr>
        <w:t>debt ratios</w:t>
      </w:r>
      <w:r w:rsidR="0054763F">
        <w:rPr>
          <w:rFonts w:ascii="Times New Roman" w:hAnsi="Times New Roman"/>
        </w:rPr>
        <w:t xml:space="preserve"> being </w:t>
      </w:r>
      <w:r w:rsidR="005C0738">
        <w:rPr>
          <w:rFonts w:ascii="Times New Roman" w:hAnsi="Times New Roman"/>
        </w:rPr>
        <w:t>consistently higher than other firms</w:t>
      </w:r>
      <w:r w:rsidR="0054763F">
        <w:rPr>
          <w:rFonts w:ascii="Times New Roman" w:hAnsi="Times New Roman"/>
        </w:rPr>
        <w:t xml:space="preserve"> (with the exception of</w:t>
      </w:r>
      <w:r w:rsidR="005C0738">
        <w:rPr>
          <w:rFonts w:ascii="Times New Roman" w:hAnsi="Times New Roman"/>
        </w:rPr>
        <w:t xml:space="preserve"> 2011 </w:t>
      </w:r>
      <w:r w:rsidR="009443CF">
        <w:rPr>
          <w:rFonts w:ascii="Times New Roman" w:hAnsi="Times New Roman"/>
        </w:rPr>
        <w:t xml:space="preserve">due to the </w:t>
      </w:r>
      <w:r w:rsidR="005C0738">
        <w:rPr>
          <w:rFonts w:ascii="Times New Roman" w:hAnsi="Times New Roman"/>
        </w:rPr>
        <w:t>spinoff</w:t>
      </w:r>
      <w:r w:rsidR="009443CF">
        <w:rPr>
          <w:rFonts w:ascii="Times New Roman" w:hAnsi="Times New Roman"/>
        </w:rPr>
        <w:t>)</w:t>
      </w:r>
      <w:r w:rsidR="005C0738">
        <w:rPr>
          <w:rFonts w:ascii="Times New Roman" w:hAnsi="Times New Roman"/>
        </w:rPr>
        <w:t xml:space="preserve">.  </w:t>
      </w:r>
      <w:r w:rsidR="009443CF">
        <w:rPr>
          <w:rFonts w:ascii="Times New Roman" w:hAnsi="Times New Roman"/>
        </w:rPr>
        <w:t>Having utilized</w:t>
      </w:r>
      <w:r w:rsidR="005C0738">
        <w:rPr>
          <w:rFonts w:ascii="Times New Roman" w:hAnsi="Times New Roman"/>
        </w:rPr>
        <w:t xml:space="preserve"> available financing </w:t>
      </w:r>
      <w:r w:rsidR="009443CF">
        <w:rPr>
          <w:rFonts w:ascii="Times New Roman" w:hAnsi="Times New Roman"/>
        </w:rPr>
        <w:t xml:space="preserve">resources </w:t>
      </w:r>
      <w:r w:rsidR="005C0738">
        <w:rPr>
          <w:rFonts w:ascii="Times New Roman" w:hAnsi="Times New Roman"/>
        </w:rPr>
        <w:t>to cover the increased expenses</w:t>
      </w:r>
      <w:r w:rsidR="009443CF">
        <w:rPr>
          <w:rFonts w:ascii="Times New Roman" w:hAnsi="Times New Roman"/>
        </w:rPr>
        <w:t>,</w:t>
      </w:r>
      <w:r w:rsidR="005C0738">
        <w:rPr>
          <w:rFonts w:ascii="Times New Roman" w:hAnsi="Times New Roman"/>
        </w:rPr>
        <w:t xml:space="preserve"> </w:t>
      </w:r>
      <w:r w:rsidR="00754802" w:rsidRPr="00EC05DA">
        <w:rPr>
          <w:rFonts w:ascii="Times New Roman" w:hAnsi="Times New Roman"/>
        </w:rPr>
        <w:t>it is understandable that they would have</w:t>
      </w:r>
      <w:r w:rsidR="00A729FA">
        <w:rPr>
          <w:rFonts w:ascii="Times New Roman" w:hAnsi="Times New Roman"/>
        </w:rPr>
        <w:t xml:space="preserve"> a larger short term obligations</w:t>
      </w:r>
      <w:r w:rsidR="005C0738">
        <w:rPr>
          <w:rFonts w:ascii="Times New Roman" w:hAnsi="Times New Roman"/>
        </w:rPr>
        <w:t xml:space="preserve"> than the other firms. Despite having the highest payables turnover, their payables period </w:t>
      </w:r>
      <w:r w:rsidR="009443CF">
        <w:rPr>
          <w:rFonts w:ascii="Times New Roman" w:hAnsi="Times New Roman"/>
        </w:rPr>
        <w:t xml:space="preserve">of 16 days </w:t>
      </w:r>
      <w:r w:rsidR="005C0738">
        <w:rPr>
          <w:rFonts w:ascii="Times New Roman" w:hAnsi="Times New Roman"/>
        </w:rPr>
        <w:t>is the lowest for all of the firms. They are comparable to those of Starwood</w:t>
      </w:r>
      <w:r w:rsidR="009443CF">
        <w:rPr>
          <w:rFonts w:ascii="Times New Roman" w:hAnsi="Times New Roman"/>
        </w:rPr>
        <w:t xml:space="preserve"> roughly 20 days. Hyatt</w:t>
      </w:r>
      <w:r w:rsidR="005C0738">
        <w:rPr>
          <w:rFonts w:ascii="Times New Roman" w:hAnsi="Times New Roman"/>
        </w:rPr>
        <w:t xml:space="preserve"> and Wyndham are having a little more trouble</w:t>
      </w:r>
      <w:r w:rsidR="009443CF">
        <w:rPr>
          <w:rFonts w:ascii="Times New Roman" w:hAnsi="Times New Roman"/>
        </w:rPr>
        <w:t xml:space="preserve"> converting with payables periods of 35 and 56 days respectively</w:t>
      </w:r>
      <w:r w:rsidR="005C0738">
        <w:rPr>
          <w:rFonts w:ascii="Times New Roman" w:hAnsi="Times New Roman"/>
        </w:rPr>
        <w:t xml:space="preserve">. The low ratio for Marriot implies that they are able to </w:t>
      </w:r>
      <w:r w:rsidR="0063039A">
        <w:rPr>
          <w:rFonts w:ascii="Times New Roman" w:hAnsi="Times New Roman"/>
        </w:rPr>
        <w:t>cover their short term debts which are greater than those of other firms.</w:t>
      </w:r>
    </w:p>
    <w:p w:rsidR="006438CC" w:rsidRPr="00EC05DA" w:rsidRDefault="006438CC" w:rsidP="00EC05DA">
      <w:pPr>
        <w:spacing w:line="480" w:lineRule="auto"/>
        <w:rPr>
          <w:rFonts w:ascii="Times New Roman" w:hAnsi="Times New Roman"/>
        </w:rPr>
      </w:pPr>
      <w:r w:rsidRPr="00EC05DA">
        <w:rPr>
          <w:noProof/>
        </w:rPr>
        <w:lastRenderedPageBreak/>
        <w:drawing>
          <wp:inline distT="0" distB="0" distL="0" distR="0" wp14:anchorId="4E73CE01" wp14:editId="4BB2E809">
            <wp:extent cx="5780598" cy="2043485"/>
            <wp:effectExtent l="0" t="0" r="1079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0AB8" w:rsidRPr="00EC05DA" w:rsidRDefault="00990AB8" w:rsidP="00EC05DA">
      <w:pPr>
        <w:spacing w:line="480" w:lineRule="auto"/>
        <w:rPr>
          <w:rFonts w:ascii="Times New Roman" w:hAnsi="Times New Roman"/>
          <w:u w:val="single"/>
        </w:rPr>
      </w:pPr>
      <w:r w:rsidRPr="00EC05DA">
        <w:rPr>
          <w:rFonts w:ascii="Times New Roman" w:hAnsi="Times New Roman"/>
          <w:u w:val="single"/>
        </w:rPr>
        <w:t>Cash Conversion &amp; Total Asset Turnover</w:t>
      </w:r>
    </w:p>
    <w:p w:rsidR="00944E37" w:rsidRDefault="00754802" w:rsidP="00EC18BC">
      <w:pPr>
        <w:spacing w:line="480" w:lineRule="auto"/>
        <w:ind w:firstLine="720"/>
        <w:rPr>
          <w:noProof/>
        </w:rPr>
      </w:pPr>
      <w:r w:rsidRPr="00EC05DA">
        <w:rPr>
          <w:rFonts w:ascii="Times New Roman" w:hAnsi="Times New Roman"/>
        </w:rPr>
        <w:t xml:space="preserve">The cash conversion cycle for Marriott is the lowest across the firms in the industry for the entire 5 year period. There is a decrease in 2011 that is considerable from that of prior years. This change is due </w:t>
      </w:r>
      <w:r w:rsidR="00A23068">
        <w:rPr>
          <w:rFonts w:ascii="Times New Roman" w:hAnsi="Times New Roman"/>
        </w:rPr>
        <w:t xml:space="preserve">to the transfer of </w:t>
      </w:r>
      <w:r w:rsidRPr="00EC05DA">
        <w:rPr>
          <w:rFonts w:ascii="Times New Roman" w:hAnsi="Times New Roman"/>
        </w:rPr>
        <w:t xml:space="preserve">cash </w:t>
      </w:r>
      <w:r w:rsidR="00A23068">
        <w:rPr>
          <w:rFonts w:ascii="Times New Roman" w:hAnsi="Times New Roman"/>
        </w:rPr>
        <w:t xml:space="preserve">and other assets to the spinoff </w:t>
      </w:r>
      <w:r w:rsidRPr="00EC05DA">
        <w:rPr>
          <w:rFonts w:ascii="Times New Roman" w:hAnsi="Times New Roman"/>
        </w:rPr>
        <w:t xml:space="preserve">MVCI. </w:t>
      </w:r>
      <w:r w:rsidR="00A23068">
        <w:rPr>
          <w:rFonts w:ascii="Times New Roman" w:hAnsi="Times New Roman"/>
        </w:rPr>
        <w:t xml:space="preserve">The record of low cash conversion indicates </w:t>
      </w:r>
      <w:bookmarkStart w:id="0" w:name="_GoBack"/>
      <w:bookmarkEnd w:id="0"/>
      <w:r w:rsidR="00A23068">
        <w:rPr>
          <w:rFonts w:ascii="Times New Roman" w:hAnsi="Times New Roman"/>
        </w:rPr>
        <w:t xml:space="preserve">that the company is efficient in collecting and covering short term expenses. On the other hand, </w:t>
      </w:r>
      <w:r w:rsidR="00012B83" w:rsidRPr="00EC05DA">
        <w:rPr>
          <w:rFonts w:ascii="Times New Roman" w:hAnsi="Times New Roman"/>
        </w:rPr>
        <w:t>Marriott’s total asset turnover is the highest across the 5 year pe</w:t>
      </w:r>
      <w:r w:rsidR="00A23068">
        <w:rPr>
          <w:rFonts w:ascii="Times New Roman" w:hAnsi="Times New Roman"/>
        </w:rPr>
        <w:t xml:space="preserve">riod, with an increase in 2011. These ratios are considerably higher than the others across the industry indicating that Marriott is effective in using its assets to generate revenues. Further analysis shows that the low </w:t>
      </w:r>
      <w:r w:rsidR="00A23068" w:rsidRPr="00EC05DA">
        <w:rPr>
          <w:rFonts w:ascii="Times New Roman" w:hAnsi="Times New Roman"/>
        </w:rPr>
        <w:t>profit</w:t>
      </w:r>
      <w:r w:rsidR="00012B83" w:rsidRPr="00EC05DA">
        <w:rPr>
          <w:rFonts w:ascii="Times New Roman" w:hAnsi="Times New Roman"/>
        </w:rPr>
        <w:t xml:space="preserve"> </w:t>
      </w:r>
      <w:r w:rsidR="00A23068" w:rsidRPr="00EC05DA">
        <w:rPr>
          <w:rFonts w:ascii="Times New Roman" w:hAnsi="Times New Roman"/>
        </w:rPr>
        <w:t xml:space="preserve">margins </w:t>
      </w:r>
      <w:r w:rsidR="00A23068">
        <w:rPr>
          <w:rFonts w:ascii="Times New Roman" w:hAnsi="Times New Roman"/>
        </w:rPr>
        <w:t xml:space="preserve">for the corporation, </w:t>
      </w:r>
      <w:r w:rsidR="00A23068" w:rsidRPr="00EC05DA">
        <w:rPr>
          <w:rFonts w:ascii="Times New Roman" w:hAnsi="Times New Roman"/>
        </w:rPr>
        <w:t xml:space="preserve">in comparison </w:t>
      </w:r>
      <w:r w:rsidR="00A23068">
        <w:rPr>
          <w:rFonts w:ascii="Times New Roman" w:hAnsi="Times New Roman"/>
        </w:rPr>
        <w:t>across the industry,</w:t>
      </w:r>
      <w:r w:rsidR="00A23068" w:rsidRPr="00EC05DA">
        <w:rPr>
          <w:rFonts w:ascii="Times New Roman" w:hAnsi="Times New Roman"/>
        </w:rPr>
        <w:t xml:space="preserve"> indicate</w:t>
      </w:r>
      <w:r w:rsidR="00012B83" w:rsidRPr="00EC05DA">
        <w:rPr>
          <w:rFonts w:ascii="Times New Roman" w:hAnsi="Times New Roman"/>
        </w:rPr>
        <w:t xml:space="preserve"> that their </w:t>
      </w:r>
      <w:r w:rsidR="00A23068">
        <w:rPr>
          <w:rFonts w:ascii="Times New Roman" w:hAnsi="Times New Roman"/>
        </w:rPr>
        <w:t>total asset turnover</w:t>
      </w:r>
      <w:r w:rsidR="00012B83" w:rsidRPr="00EC05DA">
        <w:rPr>
          <w:rFonts w:ascii="Times New Roman" w:hAnsi="Times New Roman"/>
        </w:rPr>
        <w:t xml:space="preserve"> would be higher</w:t>
      </w:r>
      <w:r w:rsidR="00A23068">
        <w:rPr>
          <w:rFonts w:ascii="Times New Roman" w:hAnsi="Times New Roman"/>
        </w:rPr>
        <w:t xml:space="preserve"> than those in the industry</w:t>
      </w:r>
      <w:r w:rsidR="00012B83" w:rsidRPr="00EC05DA">
        <w:rPr>
          <w:rFonts w:ascii="Times New Roman" w:hAnsi="Times New Roman"/>
        </w:rPr>
        <w:t xml:space="preserve">. </w:t>
      </w:r>
      <w:r w:rsidR="00CE1DF7">
        <w:rPr>
          <w:rFonts w:ascii="Times New Roman" w:hAnsi="Times New Roman"/>
        </w:rPr>
        <w:t>T</w:t>
      </w:r>
      <w:r w:rsidR="00012B83" w:rsidRPr="00EC05DA">
        <w:rPr>
          <w:rFonts w:ascii="Times New Roman" w:hAnsi="Times New Roman"/>
        </w:rPr>
        <w:t xml:space="preserve">he reduction in assets, from the </w:t>
      </w:r>
      <w:r w:rsidR="00CE1DF7">
        <w:rPr>
          <w:rFonts w:ascii="Times New Roman" w:hAnsi="Times New Roman"/>
        </w:rPr>
        <w:t xml:space="preserve">MCVI </w:t>
      </w:r>
      <w:r w:rsidR="00762EB6">
        <w:rPr>
          <w:rFonts w:ascii="Times New Roman" w:hAnsi="Times New Roman"/>
        </w:rPr>
        <w:t>spinoff</w:t>
      </w:r>
      <w:r w:rsidR="00012B83" w:rsidRPr="00EC05DA">
        <w:rPr>
          <w:rFonts w:ascii="Times New Roman" w:hAnsi="Times New Roman"/>
        </w:rPr>
        <w:t xml:space="preserve"> in 201</w:t>
      </w:r>
      <w:r w:rsidR="00CE1DF7">
        <w:rPr>
          <w:rFonts w:ascii="Times New Roman" w:hAnsi="Times New Roman"/>
        </w:rPr>
        <w:t>1</w:t>
      </w:r>
      <w:r w:rsidR="00012B83" w:rsidRPr="00EC05DA">
        <w:rPr>
          <w:rFonts w:ascii="Times New Roman" w:hAnsi="Times New Roman"/>
        </w:rPr>
        <w:t xml:space="preserve">, </w:t>
      </w:r>
      <w:r w:rsidR="00CE1DF7">
        <w:rPr>
          <w:rFonts w:ascii="Times New Roman" w:hAnsi="Times New Roman"/>
        </w:rPr>
        <w:t>is a</w:t>
      </w:r>
      <w:r w:rsidR="00A23068">
        <w:rPr>
          <w:rFonts w:ascii="Times New Roman" w:hAnsi="Times New Roman"/>
        </w:rPr>
        <w:t>lso a contributing</w:t>
      </w:r>
      <w:r w:rsidR="00CE1DF7">
        <w:rPr>
          <w:rFonts w:ascii="Times New Roman" w:hAnsi="Times New Roman"/>
        </w:rPr>
        <w:t xml:space="preserve"> factor to the increase. </w:t>
      </w:r>
      <w:r w:rsidR="00012B83" w:rsidRPr="00EC05DA">
        <w:rPr>
          <w:noProof/>
        </w:rPr>
        <w:t xml:space="preserve"> </w:t>
      </w:r>
    </w:p>
    <w:tbl>
      <w:tblPr>
        <w:tblW w:w="9417" w:type="dxa"/>
        <w:jc w:val="center"/>
        <w:tblInd w:w="93" w:type="dxa"/>
        <w:tblLook w:val="04A0" w:firstRow="1" w:lastRow="0" w:firstColumn="1" w:lastColumn="0" w:noHBand="0" w:noVBand="1"/>
      </w:tblPr>
      <w:tblGrid>
        <w:gridCol w:w="1727"/>
        <w:gridCol w:w="889"/>
        <w:gridCol w:w="14"/>
        <w:gridCol w:w="631"/>
        <w:gridCol w:w="889"/>
        <w:gridCol w:w="14"/>
        <w:gridCol w:w="631"/>
        <w:gridCol w:w="897"/>
        <w:gridCol w:w="14"/>
        <w:gridCol w:w="631"/>
        <w:gridCol w:w="896"/>
        <w:gridCol w:w="14"/>
        <w:gridCol w:w="631"/>
        <w:gridCol w:w="894"/>
        <w:gridCol w:w="14"/>
        <w:gridCol w:w="631"/>
      </w:tblGrid>
      <w:tr w:rsidR="001A6857" w:rsidRPr="00E3241B" w:rsidTr="00A54ADF">
        <w:trPr>
          <w:trHeight w:val="255"/>
          <w:jc w:val="center"/>
        </w:trPr>
        <w:tc>
          <w:tcPr>
            <w:tcW w:w="941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57" w:rsidRPr="00E3241B" w:rsidRDefault="001A6857" w:rsidP="00DA29BF">
            <w:pPr>
              <w:spacing w:after="0" w:line="480" w:lineRule="auto"/>
              <w:jc w:val="center"/>
              <w:rPr>
                <w:rFonts w:ascii="Arial" w:eastAsia="Times New Roman" w:hAnsi="Arial" w:cs="Arial"/>
                <w:sz w:val="18"/>
              </w:rPr>
            </w:pPr>
            <w:r w:rsidRPr="001A6857">
              <w:rPr>
                <w:rFonts w:ascii="Arial" w:eastAsia="Times New Roman" w:hAnsi="Arial" w:cs="Arial"/>
                <w:sz w:val="18"/>
              </w:rPr>
              <w:t>Cash Conversion &amp; Total Asset Turnover</w:t>
            </w:r>
          </w:p>
        </w:tc>
      </w:tr>
      <w:tr w:rsidR="001A6857" w:rsidRPr="00E3241B" w:rsidTr="00A54ADF">
        <w:trPr>
          <w:trHeight w:val="269"/>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57" w:rsidRPr="00E3241B" w:rsidRDefault="001A6857" w:rsidP="00DA29BF">
            <w:pPr>
              <w:spacing w:after="0" w:line="480" w:lineRule="auto"/>
              <w:rPr>
                <w:rFonts w:ascii="Calibri" w:eastAsia="Times New Roman" w:hAnsi="Calibri" w:cs="Calibri"/>
                <w:color w:val="000000"/>
                <w:sz w:val="18"/>
              </w:rPr>
            </w:pPr>
          </w:p>
        </w:tc>
        <w:tc>
          <w:tcPr>
            <w:tcW w:w="1534" w:type="dxa"/>
            <w:gridSpan w:val="3"/>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jc w:val="right"/>
              <w:rPr>
                <w:rFonts w:ascii="Arial" w:eastAsia="Times New Roman" w:hAnsi="Arial" w:cs="Arial"/>
                <w:sz w:val="18"/>
              </w:rPr>
            </w:pPr>
            <w:r w:rsidRPr="00E3241B">
              <w:rPr>
                <w:rFonts w:ascii="Arial" w:eastAsia="Times New Roman" w:hAnsi="Arial" w:cs="Arial"/>
                <w:sz w:val="18"/>
              </w:rPr>
              <w:t>12/30/2011</w:t>
            </w:r>
          </w:p>
        </w:tc>
        <w:tc>
          <w:tcPr>
            <w:tcW w:w="1534" w:type="dxa"/>
            <w:gridSpan w:val="3"/>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jc w:val="right"/>
              <w:rPr>
                <w:rFonts w:ascii="Arial" w:eastAsia="Times New Roman" w:hAnsi="Arial" w:cs="Arial"/>
                <w:sz w:val="18"/>
              </w:rPr>
            </w:pPr>
            <w:r w:rsidRPr="00E3241B">
              <w:rPr>
                <w:rFonts w:ascii="Arial" w:eastAsia="Times New Roman" w:hAnsi="Arial" w:cs="Arial"/>
                <w:sz w:val="18"/>
              </w:rPr>
              <w:t>12/31/2010</w:t>
            </w: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jc w:val="right"/>
              <w:rPr>
                <w:rFonts w:ascii="Arial" w:eastAsia="Times New Roman" w:hAnsi="Arial" w:cs="Arial"/>
                <w:sz w:val="18"/>
              </w:rPr>
            </w:pPr>
            <w:r w:rsidRPr="00E3241B">
              <w:rPr>
                <w:rFonts w:ascii="Arial" w:eastAsia="Times New Roman" w:hAnsi="Arial" w:cs="Arial"/>
                <w:sz w:val="18"/>
              </w:rPr>
              <w:t>01/01/2010</w:t>
            </w:r>
          </w:p>
        </w:tc>
        <w:tc>
          <w:tcPr>
            <w:tcW w:w="1541" w:type="dxa"/>
            <w:gridSpan w:val="3"/>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jc w:val="right"/>
              <w:rPr>
                <w:rFonts w:ascii="Arial" w:eastAsia="Times New Roman" w:hAnsi="Arial" w:cs="Arial"/>
                <w:sz w:val="18"/>
              </w:rPr>
            </w:pPr>
            <w:r w:rsidRPr="00E3241B">
              <w:rPr>
                <w:rFonts w:ascii="Arial" w:eastAsia="Times New Roman" w:hAnsi="Arial" w:cs="Arial"/>
                <w:sz w:val="18"/>
              </w:rPr>
              <w:t>01/02/2009</w:t>
            </w:r>
          </w:p>
        </w:tc>
        <w:tc>
          <w:tcPr>
            <w:tcW w:w="1539" w:type="dxa"/>
            <w:gridSpan w:val="3"/>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jc w:val="right"/>
              <w:rPr>
                <w:rFonts w:ascii="Arial" w:eastAsia="Times New Roman" w:hAnsi="Arial" w:cs="Arial"/>
                <w:sz w:val="18"/>
              </w:rPr>
            </w:pPr>
            <w:r w:rsidRPr="00E3241B">
              <w:rPr>
                <w:rFonts w:ascii="Arial" w:eastAsia="Times New Roman" w:hAnsi="Arial" w:cs="Arial"/>
                <w:sz w:val="18"/>
              </w:rPr>
              <w:t>12/28/2007</w:t>
            </w:r>
          </w:p>
        </w:tc>
      </w:tr>
      <w:tr w:rsidR="00A54ADF" w:rsidRPr="00E3241B" w:rsidTr="00A54ADF">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rPr>
                <w:rFonts w:ascii="Arial" w:eastAsia="Times New Roman" w:hAnsi="Arial" w:cs="Arial"/>
                <w:sz w:val="18"/>
              </w:rPr>
            </w:pPr>
            <w:r w:rsidRPr="00E3241B">
              <w:rPr>
                <w:rFonts w:ascii="Arial" w:eastAsia="Times New Roman" w:hAnsi="Arial" w:cs="Arial"/>
                <w:sz w:val="18"/>
              </w:rPr>
              <w:t>Marriott</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9.31</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2.08</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57.67</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1.3</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57.15</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1.38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63.99</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1.45</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56.01</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1.45</w:t>
            </w:r>
          </w:p>
        </w:tc>
      </w:tr>
      <w:tr w:rsidR="001A6857" w:rsidRPr="00E3241B" w:rsidTr="00A54ADF">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1A6857" w:rsidRPr="00E3241B" w:rsidRDefault="001A6857" w:rsidP="00DA29BF">
            <w:pPr>
              <w:spacing w:after="0" w:line="480" w:lineRule="auto"/>
              <w:rPr>
                <w:rFonts w:ascii="Arial" w:eastAsia="Times New Roman" w:hAnsi="Arial" w:cs="Arial"/>
                <w:sz w:val="18"/>
              </w:rPr>
            </w:pPr>
            <w:r w:rsidRPr="00E3241B">
              <w:rPr>
                <w:rFonts w:ascii="Arial" w:eastAsia="Times New Roman" w:hAnsi="Arial" w:cs="Arial"/>
                <w:sz w:val="18"/>
              </w:rPr>
              <w:t>Starwood</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144.92</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0.59</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153.20</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0.52</w:t>
            </w:r>
          </w:p>
        </w:tc>
        <w:tc>
          <w:tcPr>
            <w:tcW w:w="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1A6857">
            <w:pPr>
              <w:spacing w:after="0" w:line="480" w:lineRule="auto"/>
              <w:jc w:val="right"/>
              <w:rPr>
                <w:rFonts w:ascii="Arial" w:eastAsia="Times New Roman" w:hAnsi="Arial" w:cs="Arial"/>
                <w:sz w:val="18"/>
              </w:rPr>
            </w:pPr>
            <w:r w:rsidRPr="001A6857">
              <w:rPr>
                <w:rFonts w:ascii="Arial" w:eastAsia="Times New Roman" w:hAnsi="Arial" w:cs="Arial"/>
                <w:sz w:val="18"/>
              </w:rPr>
              <w:t>153.42</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0.54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144.06</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0.61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100.38</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jc w:val="right"/>
              <w:rPr>
                <w:rFonts w:ascii="Arial" w:eastAsia="Times New Roman" w:hAnsi="Arial" w:cs="Arial"/>
                <w:sz w:val="18"/>
              </w:rPr>
            </w:pPr>
            <w:r w:rsidRPr="001A6857">
              <w:rPr>
                <w:rFonts w:ascii="Arial" w:eastAsia="Times New Roman" w:hAnsi="Arial" w:cs="Arial"/>
                <w:sz w:val="18"/>
              </w:rPr>
              <w:t>0.64</w:t>
            </w:r>
          </w:p>
        </w:tc>
      </w:tr>
      <w:tr w:rsidR="001A6857" w:rsidRPr="00E3241B" w:rsidTr="00A54ADF">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57" w:rsidRPr="00E3241B" w:rsidRDefault="001A6857" w:rsidP="00DA29BF">
            <w:pPr>
              <w:spacing w:after="0" w:line="480" w:lineRule="auto"/>
              <w:rPr>
                <w:rFonts w:ascii="Calibri" w:eastAsia="Times New Roman" w:hAnsi="Calibri" w:cs="Calibri"/>
                <w:color w:val="000000"/>
                <w:sz w:val="18"/>
              </w:rPr>
            </w:pPr>
            <w:r w:rsidRPr="00E3241B">
              <w:rPr>
                <w:rFonts w:ascii="Calibri" w:eastAsia="Times New Roman" w:hAnsi="Calibri" w:cs="Calibri"/>
                <w:color w:val="000000"/>
                <w:sz w:val="18"/>
              </w:rPr>
              <w:t>Hyatt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(7.93)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0.49</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(7.74)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0.49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(15.15)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0.47</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(35.04)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0.63</w:t>
            </w: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(31.03)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1A6857" w:rsidP="00DA29BF">
            <w:pPr>
              <w:spacing w:after="0" w:line="480" w:lineRule="auto"/>
              <w:rPr>
                <w:rFonts w:ascii="Arial" w:eastAsia="Times New Roman" w:hAnsi="Arial" w:cs="Arial"/>
                <w:sz w:val="18"/>
              </w:rPr>
            </w:pPr>
            <w:r w:rsidRPr="001A6857">
              <w:rPr>
                <w:rFonts w:ascii="Arial" w:eastAsia="Times New Roman" w:hAnsi="Arial" w:cs="Arial"/>
                <w:sz w:val="18"/>
              </w:rPr>
              <w:t>0.6</w:t>
            </w:r>
          </w:p>
        </w:tc>
      </w:tr>
      <w:tr w:rsidR="001A6857" w:rsidRPr="00E3241B" w:rsidTr="00A54ADF">
        <w:trPr>
          <w:trHeight w:val="255"/>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57" w:rsidRPr="00E3241B" w:rsidRDefault="001A6857" w:rsidP="00DA29BF">
            <w:pPr>
              <w:spacing w:after="0" w:line="480" w:lineRule="auto"/>
              <w:rPr>
                <w:rFonts w:ascii="Calibri" w:eastAsia="Times New Roman" w:hAnsi="Calibri" w:cs="Calibri"/>
                <w:color w:val="000000"/>
                <w:sz w:val="18"/>
              </w:rPr>
            </w:pPr>
            <w:r w:rsidRPr="00E3241B">
              <w:rPr>
                <w:rFonts w:ascii="Calibri" w:eastAsia="Times New Roman" w:hAnsi="Calibri" w:cs="Calibri"/>
                <w:color w:val="000000"/>
                <w:sz w:val="18"/>
              </w:rPr>
              <w:t>Wyndham</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93.30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0.47</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102.8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0.41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104.81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0.4</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96.31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0.45</w:t>
            </w: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857" w:rsidRPr="001A6857"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115.24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1A6857" w:rsidRPr="00E3241B" w:rsidRDefault="00A54ADF" w:rsidP="00DA29BF">
            <w:pPr>
              <w:spacing w:after="0" w:line="480" w:lineRule="auto"/>
              <w:jc w:val="right"/>
              <w:rPr>
                <w:rFonts w:ascii="Arial" w:eastAsia="Times New Roman" w:hAnsi="Arial" w:cs="Arial"/>
                <w:sz w:val="18"/>
              </w:rPr>
            </w:pPr>
            <w:r>
              <w:rPr>
                <w:rFonts w:ascii="Arial" w:eastAsia="Times New Roman" w:hAnsi="Arial" w:cs="Arial"/>
                <w:sz w:val="18"/>
              </w:rPr>
              <w:t>0.42</w:t>
            </w:r>
          </w:p>
        </w:tc>
      </w:tr>
    </w:tbl>
    <w:p w:rsidR="001A6857" w:rsidRPr="00EC05DA" w:rsidRDefault="001A6857" w:rsidP="00EC18BC">
      <w:pPr>
        <w:spacing w:line="480" w:lineRule="auto"/>
        <w:ind w:firstLine="720"/>
        <w:rPr>
          <w:rFonts w:ascii="Times New Roman" w:hAnsi="Times New Roman"/>
        </w:rPr>
      </w:pPr>
    </w:p>
    <w:p w:rsidR="001234A5" w:rsidRPr="00EC05DA" w:rsidRDefault="00754802" w:rsidP="00EC05DA">
      <w:pPr>
        <w:spacing w:line="480" w:lineRule="auto"/>
        <w:rPr>
          <w:rFonts w:ascii="Times New Roman" w:hAnsi="Times New Roman"/>
          <w:u w:val="single"/>
        </w:rPr>
      </w:pPr>
      <w:r w:rsidRPr="00EC05DA">
        <w:rPr>
          <w:rFonts w:ascii="Times New Roman" w:hAnsi="Times New Roman"/>
          <w:u w:val="single"/>
        </w:rPr>
        <w:lastRenderedPageBreak/>
        <w:t>Profitability Ratios</w:t>
      </w:r>
    </w:p>
    <w:p w:rsidR="001234A5" w:rsidRPr="00EC05DA" w:rsidRDefault="0068430E" w:rsidP="00EC05DA">
      <w:pPr>
        <w:spacing w:line="480" w:lineRule="auto"/>
        <w:rPr>
          <w:rFonts w:ascii="Times New Roman" w:hAnsi="Times New Roman"/>
        </w:rPr>
      </w:pPr>
      <w:r w:rsidRPr="00EC05DA">
        <w:rPr>
          <w:rFonts w:ascii="Times New Roman" w:hAnsi="Times New Roman"/>
        </w:rPr>
        <w:tab/>
      </w:r>
      <w:r w:rsidR="00754802" w:rsidRPr="00EC05DA">
        <w:rPr>
          <w:rFonts w:ascii="Times New Roman" w:hAnsi="Times New Roman"/>
        </w:rPr>
        <w:t>The Profitability ratios for Marriott International are on the lower end for the industry. The negative are not as large of a concern for the 2009 year, because out of the firms analyzed only Starwood and Wyndh</w:t>
      </w:r>
      <w:r w:rsidR="00990AB8" w:rsidRPr="00EC05DA">
        <w:rPr>
          <w:rFonts w:ascii="Times New Roman" w:hAnsi="Times New Roman"/>
        </w:rPr>
        <w:t>am has positive figures. However, Starwood’s were only slightly above 1, and</w:t>
      </w:r>
      <w:r w:rsidR="00754802" w:rsidRPr="00EC05DA">
        <w:rPr>
          <w:rFonts w:ascii="Times New Roman" w:hAnsi="Times New Roman"/>
        </w:rPr>
        <w:t xml:space="preserve"> Wyndham has negatives across these ratios for the prior year suggesting that the effects of the recession affected them more quickly than the other firms. In 2011 Marriott has the lowest profit margins for the industry and a negative return on equity.</w:t>
      </w:r>
      <w:r w:rsidR="00BA59E7">
        <w:rPr>
          <w:rFonts w:ascii="Times New Roman" w:hAnsi="Times New Roman"/>
        </w:rPr>
        <w:t xml:space="preserve"> This same year net income decreases by 287 million, and equity decreased by over 2 billion to negative 781 million. I do not know the exact allocation or how this was reported however the spinoff of MVCI transferred a lot of assets and equity from Marriott international to a separate entity. While the profitability does not appear to be high the ratios are over the 5 year period are comparable with those from other firms. While it appears that there was a massive decline, the company still reported earnings over 12 billion dollars, and their financials do not account for the allocations to the spinoff company MVCI. </w:t>
      </w:r>
    </w:p>
    <w:p w:rsidR="0068430E" w:rsidRPr="00EC05DA" w:rsidRDefault="0068430E" w:rsidP="00EC05DA">
      <w:pPr>
        <w:spacing w:line="480" w:lineRule="auto"/>
        <w:rPr>
          <w:rFonts w:ascii="Times New Roman" w:hAnsi="Times New Roman"/>
          <w:u w:val="single"/>
        </w:rPr>
      </w:pPr>
      <w:r w:rsidRPr="00EC05DA">
        <w:rPr>
          <w:noProof/>
        </w:rPr>
        <w:drawing>
          <wp:inline distT="0" distB="0" distL="0" distR="0" wp14:anchorId="61A4A6E0" wp14:editId="04A2D817">
            <wp:extent cx="6027089" cy="2393343"/>
            <wp:effectExtent l="0" t="0" r="12065"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34A5" w:rsidRPr="00695FF3" w:rsidRDefault="00695FF3" w:rsidP="00695FF3">
      <w:pPr>
        <w:spacing w:line="480" w:lineRule="auto"/>
        <w:jc w:val="center"/>
        <w:rPr>
          <w:rFonts w:ascii="Times New Roman" w:hAnsi="Times New Roman"/>
          <w:b/>
          <w:u w:val="single"/>
        </w:rPr>
      </w:pPr>
      <w:r w:rsidRPr="00695FF3">
        <w:rPr>
          <w:rFonts w:ascii="Times New Roman" w:hAnsi="Times New Roman"/>
          <w:b/>
          <w:u w:val="single"/>
        </w:rPr>
        <w:t>Beta Calculation</w:t>
      </w:r>
    </w:p>
    <w:p w:rsidR="00481633" w:rsidRPr="00EC05DA" w:rsidRDefault="00F93658" w:rsidP="00481633">
      <w:pPr>
        <w:spacing w:line="480" w:lineRule="auto"/>
        <w:ind w:firstLine="720"/>
        <w:rPr>
          <w:rFonts w:ascii="Times New Roman" w:hAnsi="Times New Roman"/>
          <w:u w:val="single"/>
        </w:rPr>
      </w:pPr>
      <w:r>
        <w:rPr>
          <w:rFonts w:ascii="Times New Roman" w:hAnsi="Times New Roman"/>
        </w:rPr>
        <w:t xml:space="preserve">Marriott’s beta regression which calculated to have a beta of 1.49 implies that they are more volatile than the market. </w:t>
      </w:r>
      <w:r w:rsidR="002E11F0">
        <w:rPr>
          <w:rFonts w:ascii="Times New Roman" w:hAnsi="Times New Roman"/>
        </w:rPr>
        <w:t xml:space="preserve">Starwood’s is 2.08, </w:t>
      </w:r>
      <w:r>
        <w:rPr>
          <w:rFonts w:ascii="Times New Roman" w:hAnsi="Times New Roman"/>
        </w:rPr>
        <w:t>Hyatt’s 1.25</w:t>
      </w:r>
      <w:r w:rsidR="002E11F0">
        <w:rPr>
          <w:rFonts w:ascii="Times New Roman" w:hAnsi="Times New Roman"/>
        </w:rPr>
        <w:t>, and Wyndham 2.92</w:t>
      </w:r>
      <w:r>
        <w:rPr>
          <w:rFonts w:ascii="Times New Roman" w:hAnsi="Times New Roman"/>
        </w:rPr>
        <w:t xml:space="preserve">. These </w:t>
      </w:r>
      <w:r w:rsidR="002E11F0">
        <w:rPr>
          <w:rFonts w:ascii="Times New Roman" w:hAnsi="Times New Roman"/>
        </w:rPr>
        <w:t xml:space="preserve">are comparable, </w:t>
      </w:r>
      <w:r w:rsidR="002E11F0">
        <w:rPr>
          <w:rFonts w:ascii="Times New Roman" w:hAnsi="Times New Roman"/>
        </w:rPr>
        <w:lastRenderedPageBreak/>
        <w:t>with Hyatt having the least risk followed by Marriott, Starwood, and then Wyndham.</w:t>
      </w:r>
      <w:r>
        <w:rPr>
          <w:rFonts w:ascii="Times New Roman" w:hAnsi="Times New Roman"/>
        </w:rPr>
        <w:t xml:space="preserve"> </w:t>
      </w:r>
      <w:r w:rsidR="002E11F0">
        <w:rPr>
          <w:rFonts w:ascii="Times New Roman" w:hAnsi="Times New Roman"/>
        </w:rPr>
        <w:t>The price range for</w:t>
      </w:r>
      <w:r>
        <w:rPr>
          <w:rFonts w:ascii="Times New Roman" w:hAnsi="Times New Roman"/>
        </w:rPr>
        <w:t xml:space="preserve"> Marriott over the five years was from</w:t>
      </w:r>
      <w:r w:rsidR="00481633">
        <w:rPr>
          <w:rFonts w:ascii="Times New Roman" w:hAnsi="Times New Roman"/>
        </w:rPr>
        <w:t xml:space="preserve"> a low of</w:t>
      </w:r>
      <w:r>
        <w:rPr>
          <w:rFonts w:ascii="Times New Roman" w:hAnsi="Times New Roman"/>
        </w:rPr>
        <w:t xml:space="preserve"> </w:t>
      </w:r>
      <w:r w:rsidR="00481633">
        <w:rPr>
          <w:rFonts w:ascii="Times New Roman" w:hAnsi="Times New Roman"/>
        </w:rPr>
        <w:t>29.17 in 2011 to a high of 41.54 in 2010.</w:t>
      </w:r>
      <w:r w:rsidR="002E11F0">
        <w:rPr>
          <w:rFonts w:ascii="Times New Roman" w:hAnsi="Times New Roman"/>
        </w:rPr>
        <w:t xml:space="preserve"> </w:t>
      </w:r>
      <w:r w:rsidR="00481633">
        <w:rPr>
          <w:rFonts w:ascii="Times New Roman" w:hAnsi="Times New Roman"/>
        </w:rPr>
        <w:t xml:space="preserve">Marriott’s year to date price at 38.39 it’s up about 33% which clearly shows the volatility. The company’s beta over one indicates that the returns can be higher than the market; however this comes with a risk trade off. Given the spinoff, and increased management and franchise properties, the company is changing itself, while this is predicted to pay off returning to the previously high returns on capital and improving, it is uncertain. Look at the recession for instance and how it devastated this industry across the board. The industry as a whole is risky; there are a lot of dependent factors that the industry relies upon. The majority of business comes from other business travelers, and if they cut back then the hotels are limited.  </w:t>
      </w:r>
    </w:p>
    <w:p w:rsidR="001234A5" w:rsidRDefault="00754802" w:rsidP="00481633">
      <w:pPr>
        <w:spacing w:line="480" w:lineRule="auto"/>
        <w:jc w:val="center"/>
        <w:rPr>
          <w:rFonts w:ascii="Times New Roman" w:hAnsi="Times New Roman"/>
          <w:b/>
          <w:u w:val="single"/>
        </w:rPr>
      </w:pPr>
      <w:r w:rsidRPr="00695FF3">
        <w:rPr>
          <w:rFonts w:ascii="Times New Roman" w:hAnsi="Times New Roman"/>
          <w:b/>
          <w:u w:val="single"/>
        </w:rPr>
        <w:t>Corporate Governance</w:t>
      </w:r>
    </w:p>
    <w:p w:rsidR="00F93658" w:rsidRDefault="00257A02" w:rsidP="00481633">
      <w:pPr>
        <w:spacing w:line="480" w:lineRule="auto"/>
        <w:ind w:firstLine="720"/>
        <w:rPr>
          <w:rFonts w:ascii="Times New Roman" w:hAnsi="Times New Roman"/>
          <w:u w:val="single"/>
        </w:rPr>
      </w:pPr>
      <w:r>
        <w:rPr>
          <w:rFonts w:ascii="Times New Roman" w:hAnsi="Times New Roman"/>
        </w:rPr>
        <w:t>Marriott International like many other mature firms has an understanding and commitment to the interests of the shareholders.</w:t>
      </w:r>
      <w:r w:rsidR="00CB5F7B">
        <w:rPr>
          <w:rFonts w:ascii="Times New Roman" w:hAnsi="Times New Roman"/>
        </w:rPr>
        <w:t xml:space="preserve"> They’re main focus is on their responsibility to associates, customers, suppliers, the community, and the stakeholders. </w:t>
      </w:r>
      <w:r w:rsidR="003C5D3E">
        <w:rPr>
          <w:rFonts w:ascii="Times New Roman" w:hAnsi="Times New Roman"/>
        </w:rPr>
        <w:t xml:space="preserve">They have a strong emphasis on the importance of their own and what they bring to the organization. Arne Sorenson the former COO recently replaced JW Marriott Jr. the long time CEO. Arne and Marriott Jr. are members on the board, JW is the executive chairman, and chairman, John W Marriott III is the vice chairman, Arne is the president. The other </w:t>
      </w:r>
      <w:r w:rsidR="00BB3409">
        <w:rPr>
          <w:rFonts w:ascii="Times New Roman" w:hAnsi="Times New Roman"/>
        </w:rPr>
        <w:t>seven</w:t>
      </w:r>
      <w:r w:rsidR="003C5D3E">
        <w:rPr>
          <w:rFonts w:ascii="Times New Roman" w:hAnsi="Times New Roman"/>
        </w:rPr>
        <w:t xml:space="preserve"> board members and </w:t>
      </w:r>
      <w:r w:rsidR="00BB3409">
        <w:rPr>
          <w:rFonts w:ascii="Times New Roman" w:hAnsi="Times New Roman"/>
        </w:rPr>
        <w:t xml:space="preserve">two </w:t>
      </w:r>
      <w:r w:rsidR="003C5D3E">
        <w:rPr>
          <w:rFonts w:ascii="Times New Roman" w:hAnsi="Times New Roman"/>
        </w:rPr>
        <w:t xml:space="preserve">directors are all independent of the company.  </w:t>
      </w:r>
      <w:r>
        <w:rPr>
          <w:rFonts w:ascii="Times New Roman" w:hAnsi="Times New Roman"/>
        </w:rPr>
        <w:t xml:space="preserve">The Shareholders </w:t>
      </w:r>
      <w:r w:rsidR="00BB3409">
        <w:rPr>
          <w:rFonts w:ascii="Times New Roman" w:hAnsi="Times New Roman"/>
        </w:rPr>
        <w:t xml:space="preserve">annually </w:t>
      </w:r>
      <w:r>
        <w:rPr>
          <w:rFonts w:ascii="Times New Roman" w:hAnsi="Times New Roman"/>
        </w:rPr>
        <w:t xml:space="preserve">elect a board of directors to oversee the upper management and that cohesively works with independent committees to help with Marriott’s strategic plans. </w:t>
      </w:r>
      <w:r w:rsidR="00CB5F7B">
        <w:rPr>
          <w:rFonts w:ascii="Times New Roman" w:hAnsi="Times New Roman"/>
        </w:rPr>
        <w:t xml:space="preserve">The board and committees work together to appoint the corporate officers along with the independent auditor approve executive compensation, decide upon dividends, investments and other matters. </w:t>
      </w:r>
    </w:p>
    <w:p w:rsidR="00F93658" w:rsidRDefault="00F93658">
      <w:pPr>
        <w:rPr>
          <w:rFonts w:ascii="Times New Roman" w:hAnsi="Times New Roman"/>
          <w:u w:val="single"/>
        </w:rPr>
      </w:pPr>
      <w:r>
        <w:rPr>
          <w:rFonts w:ascii="Times New Roman" w:hAnsi="Times New Roman"/>
          <w:u w:val="single"/>
        </w:rPr>
        <w:br w:type="page"/>
      </w:r>
    </w:p>
    <w:p w:rsidR="001234A5" w:rsidRDefault="00F93658" w:rsidP="00EC05DA">
      <w:pPr>
        <w:spacing w:line="480" w:lineRule="auto"/>
        <w:jc w:val="center"/>
        <w:rPr>
          <w:rFonts w:ascii="Times New Roman" w:hAnsi="Times New Roman"/>
          <w:u w:val="single"/>
        </w:rPr>
      </w:pPr>
      <w:r>
        <w:rPr>
          <w:rFonts w:ascii="Times New Roman" w:hAnsi="Times New Roman"/>
          <w:u w:val="single"/>
        </w:rPr>
        <w:lastRenderedPageBreak/>
        <w:t xml:space="preserve">Works Cited </w:t>
      </w:r>
    </w:p>
    <w:p w:rsidR="00F93658" w:rsidRDefault="00F93658" w:rsidP="00F93658">
      <w:pPr>
        <w:spacing w:line="480" w:lineRule="auto"/>
        <w:rPr>
          <w:rFonts w:ascii="Times New Roman" w:hAnsi="Times New Roman"/>
        </w:rPr>
      </w:pPr>
      <w:r>
        <w:rPr>
          <w:rFonts w:ascii="Times New Roman" w:hAnsi="Times New Roman"/>
        </w:rPr>
        <w:t>mergentonline</w:t>
      </w:r>
    </w:p>
    <w:p w:rsidR="00F93658" w:rsidRDefault="00F93658" w:rsidP="00F93658">
      <w:pPr>
        <w:spacing w:line="480" w:lineRule="auto"/>
        <w:rPr>
          <w:rFonts w:ascii="Times New Roman" w:hAnsi="Times New Roman"/>
        </w:rPr>
      </w:pPr>
      <w:r>
        <w:rPr>
          <w:rFonts w:ascii="Times New Roman" w:hAnsi="Times New Roman"/>
        </w:rPr>
        <w:t>www.Morningstar.com</w:t>
      </w:r>
    </w:p>
    <w:p w:rsidR="00F93658" w:rsidRPr="00F93658" w:rsidRDefault="00F93658" w:rsidP="00F93658">
      <w:pPr>
        <w:spacing w:line="480" w:lineRule="auto"/>
        <w:rPr>
          <w:rFonts w:ascii="Times New Roman" w:hAnsi="Times New Roman"/>
        </w:rPr>
      </w:pPr>
      <w:r>
        <w:rPr>
          <w:rFonts w:ascii="Times New Roman" w:hAnsi="Times New Roman"/>
        </w:rPr>
        <w:t>www.marriott.com</w:t>
      </w:r>
    </w:p>
    <w:p w:rsidR="00F93658" w:rsidRPr="00EC05DA" w:rsidRDefault="00F93658" w:rsidP="00F93658">
      <w:pPr>
        <w:spacing w:line="480" w:lineRule="auto"/>
        <w:rPr>
          <w:rFonts w:ascii="Times New Roman" w:hAnsi="Times New Roman"/>
          <w:u w:val="single"/>
        </w:rPr>
      </w:pPr>
      <w:r w:rsidRPr="00F93658">
        <w:rPr>
          <w:rFonts w:ascii="Times New Roman" w:hAnsi="Times New Roman"/>
          <w:u w:val="single"/>
        </w:rPr>
        <w:t>http://files.shareholder.com/downloads/MAR/2119243231x0x153726/5130B7C1-465E-4C48-B9EA-8BE79D5405F7/directors.pdf</w:t>
      </w:r>
    </w:p>
    <w:sectPr w:rsidR="00F93658" w:rsidRPr="00EC05DA">
      <w:headerReference w:type="default" r:id="rId13"/>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02" w:rsidRDefault="00754802" w:rsidP="003505A7">
      <w:pPr>
        <w:spacing w:after="0" w:line="240" w:lineRule="auto"/>
      </w:pPr>
      <w:r>
        <w:separator/>
      </w:r>
    </w:p>
  </w:endnote>
  <w:endnote w:type="continuationSeparator" w:id="0">
    <w:p w:rsidR="00754802" w:rsidRDefault="00754802" w:rsidP="0035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02" w:rsidRDefault="00754802" w:rsidP="003505A7">
      <w:pPr>
        <w:spacing w:after="0" w:line="240" w:lineRule="auto"/>
      </w:pPr>
      <w:r>
        <w:separator/>
      </w:r>
    </w:p>
  </w:footnote>
  <w:footnote w:type="continuationSeparator" w:id="0">
    <w:p w:rsidR="00754802" w:rsidRDefault="00754802" w:rsidP="0035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58" w:rsidRDefault="00F93658">
    <w:pPr>
      <w:pStyle w:val="Header"/>
    </w:pPr>
    <w:r>
      <w:tab/>
    </w:r>
    <w:r>
      <w:tab/>
      <w:t xml:space="preserve">Hamilton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40"/>
    <w:rsid w:val="00003DFE"/>
    <w:rsid w:val="00012B83"/>
    <w:rsid w:val="000A165A"/>
    <w:rsid w:val="000A6308"/>
    <w:rsid w:val="00111B61"/>
    <w:rsid w:val="001234A5"/>
    <w:rsid w:val="0013079C"/>
    <w:rsid w:val="001335D3"/>
    <w:rsid w:val="001441ED"/>
    <w:rsid w:val="001A6857"/>
    <w:rsid w:val="001B798F"/>
    <w:rsid w:val="001D36DF"/>
    <w:rsid w:val="001E4AC4"/>
    <w:rsid w:val="00204456"/>
    <w:rsid w:val="00236399"/>
    <w:rsid w:val="00236C41"/>
    <w:rsid w:val="0024486B"/>
    <w:rsid w:val="00257A02"/>
    <w:rsid w:val="00257C29"/>
    <w:rsid w:val="00291B91"/>
    <w:rsid w:val="002A10A6"/>
    <w:rsid w:val="002E11F0"/>
    <w:rsid w:val="002E5056"/>
    <w:rsid w:val="003505A7"/>
    <w:rsid w:val="003C5D3E"/>
    <w:rsid w:val="00410BA1"/>
    <w:rsid w:val="00481633"/>
    <w:rsid w:val="00496E55"/>
    <w:rsid w:val="004F49A9"/>
    <w:rsid w:val="004F7172"/>
    <w:rsid w:val="00511706"/>
    <w:rsid w:val="00513EDF"/>
    <w:rsid w:val="0054763F"/>
    <w:rsid w:val="005C0738"/>
    <w:rsid w:val="0063039A"/>
    <w:rsid w:val="006438CC"/>
    <w:rsid w:val="00681B40"/>
    <w:rsid w:val="0068430E"/>
    <w:rsid w:val="00695FF3"/>
    <w:rsid w:val="00705979"/>
    <w:rsid w:val="00754802"/>
    <w:rsid w:val="00762EB6"/>
    <w:rsid w:val="00880768"/>
    <w:rsid w:val="00910C59"/>
    <w:rsid w:val="009443CF"/>
    <w:rsid w:val="00944E37"/>
    <w:rsid w:val="00960783"/>
    <w:rsid w:val="0098034E"/>
    <w:rsid w:val="00990AB8"/>
    <w:rsid w:val="00A23068"/>
    <w:rsid w:val="00A41754"/>
    <w:rsid w:val="00A54ADF"/>
    <w:rsid w:val="00A729FA"/>
    <w:rsid w:val="00A85C21"/>
    <w:rsid w:val="00A908F7"/>
    <w:rsid w:val="00AF4DF4"/>
    <w:rsid w:val="00B05C87"/>
    <w:rsid w:val="00B05DA5"/>
    <w:rsid w:val="00B63FF5"/>
    <w:rsid w:val="00B72ABF"/>
    <w:rsid w:val="00B96402"/>
    <w:rsid w:val="00BA59E7"/>
    <w:rsid w:val="00BA6B03"/>
    <w:rsid w:val="00BB3409"/>
    <w:rsid w:val="00C36F5B"/>
    <w:rsid w:val="00C46FFA"/>
    <w:rsid w:val="00CB4749"/>
    <w:rsid w:val="00CB5F7B"/>
    <w:rsid w:val="00CE1DF7"/>
    <w:rsid w:val="00D33F30"/>
    <w:rsid w:val="00D36478"/>
    <w:rsid w:val="00DB4562"/>
    <w:rsid w:val="00E230C0"/>
    <w:rsid w:val="00E3241B"/>
    <w:rsid w:val="00E6177E"/>
    <w:rsid w:val="00EC05DA"/>
    <w:rsid w:val="00EC18BC"/>
    <w:rsid w:val="00F00C9E"/>
    <w:rsid w:val="00F02B6E"/>
    <w:rsid w:val="00F53E40"/>
    <w:rsid w:val="00F93293"/>
    <w:rsid w:val="00F93658"/>
    <w:rsid w:val="00FA0456"/>
    <w:rsid w:val="00FC5346"/>
    <w:rsid w:val="00FD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4E"/>
    <w:rPr>
      <w:rFonts w:ascii="Tahoma" w:hAnsi="Tahoma" w:cs="Tahoma"/>
      <w:sz w:val="16"/>
      <w:szCs w:val="16"/>
    </w:rPr>
  </w:style>
  <w:style w:type="table" w:styleId="TableGrid">
    <w:name w:val="Table Grid"/>
    <w:basedOn w:val="TableNormal"/>
    <w:uiPriority w:val="59"/>
    <w:rsid w:val="0064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BC"/>
  </w:style>
  <w:style w:type="paragraph" w:styleId="Footer">
    <w:name w:val="footer"/>
    <w:basedOn w:val="Normal"/>
    <w:link w:val="FooterChar"/>
    <w:uiPriority w:val="99"/>
    <w:unhideWhenUsed/>
    <w:rsid w:val="00EC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BC"/>
  </w:style>
  <w:style w:type="character" w:styleId="Hyperlink">
    <w:name w:val="Hyperlink"/>
    <w:basedOn w:val="DefaultParagraphFont"/>
    <w:uiPriority w:val="99"/>
    <w:unhideWhenUsed/>
    <w:rsid w:val="00F93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4E"/>
    <w:rPr>
      <w:rFonts w:ascii="Tahoma" w:hAnsi="Tahoma" w:cs="Tahoma"/>
      <w:sz w:val="16"/>
      <w:szCs w:val="16"/>
    </w:rPr>
  </w:style>
  <w:style w:type="table" w:styleId="TableGrid">
    <w:name w:val="Table Grid"/>
    <w:basedOn w:val="TableNormal"/>
    <w:uiPriority w:val="59"/>
    <w:rsid w:val="0064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1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BC"/>
  </w:style>
  <w:style w:type="paragraph" w:styleId="Footer">
    <w:name w:val="footer"/>
    <w:basedOn w:val="Normal"/>
    <w:link w:val="FooterChar"/>
    <w:uiPriority w:val="99"/>
    <w:unhideWhenUsed/>
    <w:rsid w:val="00EC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BC"/>
  </w:style>
  <w:style w:type="character" w:styleId="Hyperlink">
    <w:name w:val="Hyperlink"/>
    <w:basedOn w:val="DefaultParagraphFont"/>
    <w:uiPriority w:val="99"/>
    <w:unhideWhenUsed/>
    <w:rsid w:val="00F93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278">
      <w:bodyDiv w:val="1"/>
      <w:marLeft w:val="0"/>
      <w:marRight w:val="0"/>
      <w:marTop w:val="0"/>
      <w:marBottom w:val="0"/>
      <w:divBdr>
        <w:top w:val="none" w:sz="0" w:space="0" w:color="auto"/>
        <w:left w:val="none" w:sz="0" w:space="0" w:color="auto"/>
        <w:bottom w:val="none" w:sz="0" w:space="0" w:color="auto"/>
        <w:right w:val="none" w:sz="0" w:space="0" w:color="auto"/>
      </w:divBdr>
    </w:div>
    <w:div w:id="197200598">
      <w:bodyDiv w:val="1"/>
      <w:marLeft w:val="0"/>
      <w:marRight w:val="0"/>
      <w:marTop w:val="0"/>
      <w:marBottom w:val="0"/>
      <w:divBdr>
        <w:top w:val="none" w:sz="0" w:space="0" w:color="auto"/>
        <w:left w:val="none" w:sz="0" w:space="0" w:color="auto"/>
        <w:bottom w:val="none" w:sz="0" w:space="0" w:color="auto"/>
        <w:right w:val="none" w:sz="0" w:space="0" w:color="auto"/>
      </w:divBdr>
    </w:div>
    <w:div w:id="543061233">
      <w:bodyDiv w:val="1"/>
      <w:marLeft w:val="0"/>
      <w:marRight w:val="0"/>
      <w:marTop w:val="0"/>
      <w:marBottom w:val="0"/>
      <w:divBdr>
        <w:top w:val="none" w:sz="0" w:space="0" w:color="auto"/>
        <w:left w:val="none" w:sz="0" w:space="0" w:color="auto"/>
        <w:bottom w:val="none" w:sz="0" w:space="0" w:color="auto"/>
        <w:right w:val="none" w:sz="0" w:space="0" w:color="auto"/>
      </w:divBdr>
    </w:div>
    <w:div w:id="614215653">
      <w:bodyDiv w:val="1"/>
      <w:marLeft w:val="0"/>
      <w:marRight w:val="0"/>
      <w:marTop w:val="0"/>
      <w:marBottom w:val="0"/>
      <w:divBdr>
        <w:top w:val="none" w:sz="0" w:space="0" w:color="auto"/>
        <w:left w:val="none" w:sz="0" w:space="0" w:color="auto"/>
        <w:bottom w:val="none" w:sz="0" w:space="0" w:color="auto"/>
        <w:right w:val="none" w:sz="0" w:space="0" w:color="auto"/>
      </w:divBdr>
    </w:div>
    <w:div w:id="680551414">
      <w:bodyDiv w:val="1"/>
      <w:marLeft w:val="0"/>
      <w:marRight w:val="0"/>
      <w:marTop w:val="0"/>
      <w:marBottom w:val="0"/>
      <w:divBdr>
        <w:top w:val="none" w:sz="0" w:space="0" w:color="auto"/>
        <w:left w:val="none" w:sz="0" w:space="0" w:color="auto"/>
        <w:bottom w:val="none" w:sz="0" w:space="0" w:color="auto"/>
        <w:right w:val="none" w:sz="0" w:space="0" w:color="auto"/>
      </w:divBdr>
    </w:div>
    <w:div w:id="793792438">
      <w:bodyDiv w:val="1"/>
      <w:marLeft w:val="0"/>
      <w:marRight w:val="0"/>
      <w:marTop w:val="0"/>
      <w:marBottom w:val="0"/>
      <w:divBdr>
        <w:top w:val="none" w:sz="0" w:space="0" w:color="auto"/>
        <w:left w:val="none" w:sz="0" w:space="0" w:color="auto"/>
        <w:bottom w:val="none" w:sz="0" w:space="0" w:color="auto"/>
        <w:right w:val="none" w:sz="0" w:space="0" w:color="auto"/>
      </w:divBdr>
    </w:div>
    <w:div w:id="823203222">
      <w:bodyDiv w:val="1"/>
      <w:marLeft w:val="0"/>
      <w:marRight w:val="0"/>
      <w:marTop w:val="0"/>
      <w:marBottom w:val="0"/>
      <w:divBdr>
        <w:top w:val="none" w:sz="0" w:space="0" w:color="auto"/>
        <w:left w:val="none" w:sz="0" w:space="0" w:color="auto"/>
        <w:bottom w:val="none" w:sz="0" w:space="0" w:color="auto"/>
        <w:right w:val="none" w:sz="0" w:space="0" w:color="auto"/>
      </w:divBdr>
    </w:div>
    <w:div w:id="826241051">
      <w:bodyDiv w:val="1"/>
      <w:marLeft w:val="0"/>
      <w:marRight w:val="0"/>
      <w:marTop w:val="0"/>
      <w:marBottom w:val="0"/>
      <w:divBdr>
        <w:top w:val="none" w:sz="0" w:space="0" w:color="auto"/>
        <w:left w:val="none" w:sz="0" w:space="0" w:color="auto"/>
        <w:bottom w:val="none" w:sz="0" w:space="0" w:color="auto"/>
        <w:right w:val="none" w:sz="0" w:space="0" w:color="auto"/>
      </w:divBdr>
    </w:div>
    <w:div w:id="826439878">
      <w:bodyDiv w:val="1"/>
      <w:marLeft w:val="0"/>
      <w:marRight w:val="0"/>
      <w:marTop w:val="0"/>
      <w:marBottom w:val="0"/>
      <w:divBdr>
        <w:top w:val="none" w:sz="0" w:space="0" w:color="auto"/>
        <w:left w:val="none" w:sz="0" w:space="0" w:color="auto"/>
        <w:bottom w:val="none" w:sz="0" w:space="0" w:color="auto"/>
        <w:right w:val="none" w:sz="0" w:space="0" w:color="auto"/>
      </w:divBdr>
    </w:div>
    <w:div w:id="892350989">
      <w:bodyDiv w:val="1"/>
      <w:marLeft w:val="0"/>
      <w:marRight w:val="0"/>
      <w:marTop w:val="0"/>
      <w:marBottom w:val="0"/>
      <w:divBdr>
        <w:top w:val="none" w:sz="0" w:space="0" w:color="auto"/>
        <w:left w:val="none" w:sz="0" w:space="0" w:color="auto"/>
        <w:bottom w:val="none" w:sz="0" w:space="0" w:color="auto"/>
        <w:right w:val="none" w:sz="0" w:space="0" w:color="auto"/>
      </w:divBdr>
    </w:div>
    <w:div w:id="1023433317">
      <w:bodyDiv w:val="1"/>
      <w:marLeft w:val="0"/>
      <w:marRight w:val="0"/>
      <w:marTop w:val="0"/>
      <w:marBottom w:val="0"/>
      <w:divBdr>
        <w:top w:val="none" w:sz="0" w:space="0" w:color="auto"/>
        <w:left w:val="none" w:sz="0" w:space="0" w:color="auto"/>
        <w:bottom w:val="none" w:sz="0" w:space="0" w:color="auto"/>
        <w:right w:val="none" w:sz="0" w:space="0" w:color="auto"/>
      </w:divBdr>
    </w:div>
    <w:div w:id="1190945856">
      <w:bodyDiv w:val="1"/>
      <w:marLeft w:val="0"/>
      <w:marRight w:val="0"/>
      <w:marTop w:val="0"/>
      <w:marBottom w:val="0"/>
      <w:divBdr>
        <w:top w:val="none" w:sz="0" w:space="0" w:color="auto"/>
        <w:left w:val="none" w:sz="0" w:space="0" w:color="auto"/>
        <w:bottom w:val="none" w:sz="0" w:space="0" w:color="auto"/>
        <w:right w:val="none" w:sz="0" w:space="0" w:color="auto"/>
      </w:divBdr>
    </w:div>
    <w:div w:id="1232547182">
      <w:bodyDiv w:val="1"/>
      <w:marLeft w:val="0"/>
      <w:marRight w:val="0"/>
      <w:marTop w:val="0"/>
      <w:marBottom w:val="0"/>
      <w:divBdr>
        <w:top w:val="none" w:sz="0" w:space="0" w:color="auto"/>
        <w:left w:val="none" w:sz="0" w:space="0" w:color="auto"/>
        <w:bottom w:val="none" w:sz="0" w:space="0" w:color="auto"/>
        <w:right w:val="none" w:sz="0" w:space="0" w:color="auto"/>
      </w:divBdr>
    </w:div>
    <w:div w:id="1689598359">
      <w:bodyDiv w:val="1"/>
      <w:marLeft w:val="0"/>
      <w:marRight w:val="0"/>
      <w:marTop w:val="0"/>
      <w:marBottom w:val="0"/>
      <w:divBdr>
        <w:top w:val="none" w:sz="0" w:space="0" w:color="auto"/>
        <w:left w:val="none" w:sz="0" w:space="0" w:color="auto"/>
        <w:bottom w:val="none" w:sz="0" w:space="0" w:color="auto"/>
        <w:right w:val="none" w:sz="0" w:space="0" w:color="auto"/>
      </w:divBdr>
    </w:div>
    <w:div w:id="1952517792">
      <w:bodyDiv w:val="1"/>
      <w:marLeft w:val="0"/>
      <w:marRight w:val="0"/>
      <w:marTop w:val="0"/>
      <w:marBottom w:val="0"/>
      <w:divBdr>
        <w:top w:val="none" w:sz="0" w:space="0" w:color="auto"/>
        <w:left w:val="none" w:sz="0" w:space="0" w:color="auto"/>
        <w:bottom w:val="none" w:sz="0" w:space="0" w:color="auto"/>
        <w:right w:val="none" w:sz="0" w:space="0" w:color="auto"/>
      </w:divBdr>
    </w:div>
    <w:div w:id="1958370205">
      <w:bodyDiv w:val="1"/>
      <w:marLeft w:val="0"/>
      <w:marRight w:val="0"/>
      <w:marTop w:val="0"/>
      <w:marBottom w:val="0"/>
      <w:divBdr>
        <w:top w:val="none" w:sz="0" w:space="0" w:color="auto"/>
        <w:left w:val="none" w:sz="0" w:space="0" w:color="auto"/>
        <w:bottom w:val="none" w:sz="0" w:space="0" w:color="auto"/>
        <w:right w:val="none" w:sz="0" w:space="0" w:color="auto"/>
      </w:divBdr>
    </w:div>
    <w:div w:id="1977758789">
      <w:bodyDiv w:val="1"/>
      <w:marLeft w:val="0"/>
      <w:marRight w:val="0"/>
      <w:marTop w:val="0"/>
      <w:marBottom w:val="0"/>
      <w:divBdr>
        <w:top w:val="none" w:sz="0" w:space="0" w:color="auto"/>
        <w:left w:val="none" w:sz="0" w:space="0" w:color="auto"/>
        <w:bottom w:val="none" w:sz="0" w:space="0" w:color="auto"/>
        <w:right w:val="none" w:sz="0" w:space="0" w:color="auto"/>
      </w:divBdr>
    </w:div>
    <w:div w:id="2008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Documents\Hotel%20Industry%20Rat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Debt Ratios</a:t>
            </a:r>
          </a:p>
        </c:rich>
      </c:tx>
      <c:layout/>
      <c:overlay val="0"/>
    </c:title>
    <c:autoTitleDeleted val="0"/>
    <c:plotArea>
      <c:layout/>
      <c:barChart>
        <c:barDir val="col"/>
        <c:grouping val="clustered"/>
        <c:varyColors val="0"/>
        <c:ser>
          <c:idx val="0"/>
          <c:order val="0"/>
          <c:tx>
            <c:strRef>
              <c:f>Sheet1!$A$6</c:f>
              <c:strCache>
                <c:ptCount val="1"/>
                <c:pt idx="0">
                  <c:v>Total Debt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Sheet1!$B$6:$X$6</c:f>
              <c:numCache>
                <c:formatCode>0.00</c:formatCode>
                <c:ptCount val="23"/>
                <c:pt idx="0">
                  <c:v>1.1321489001692047</c:v>
                </c:pt>
                <c:pt idx="1">
                  <c:v>0.82355560503172665</c:v>
                </c:pt>
                <c:pt idx="2">
                  <c:v>0.85604437161225266</c:v>
                </c:pt>
                <c:pt idx="3">
                  <c:v>0.84499606874087385</c:v>
                </c:pt>
                <c:pt idx="4">
                  <c:v>0.84019235070454035</c:v>
                </c:pt>
                <c:pt idx="6" formatCode="#,##0.00">
                  <c:v>0.69089958158995812</c:v>
                </c:pt>
                <c:pt idx="7" formatCode="#,##0.00">
                  <c:v>0.74570376432078556</c:v>
                </c:pt>
                <c:pt idx="8" formatCode="#,##0.00">
                  <c:v>0.78940760187193237</c:v>
                </c:pt>
                <c:pt idx="9" formatCode="#,##0.00">
                  <c:v>0.83056786560857465</c:v>
                </c:pt>
                <c:pt idx="10" formatCode="#,##0.00">
                  <c:v>0.78154229889835791</c:v>
                </c:pt>
                <c:pt idx="12">
                  <c:v>0.35686692420407617</c:v>
                </c:pt>
                <c:pt idx="13">
                  <c:v>0.29159188181692669</c:v>
                </c:pt>
                <c:pt idx="14">
                  <c:v>0.29559748427672955</c:v>
                </c:pt>
                <c:pt idx="15">
                  <c:v>0.41297597646674294</c:v>
                </c:pt>
                <c:pt idx="16">
                  <c:v>0.44478233034571063</c:v>
                </c:pt>
                <c:pt idx="18">
                  <c:v>0.75263216225202256</c:v>
                </c:pt>
                <c:pt idx="19">
                  <c:v>0.69020815632965171</c:v>
                </c:pt>
                <c:pt idx="20">
                  <c:v>0.71257485029940115</c:v>
                </c:pt>
                <c:pt idx="21">
                  <c:v>0.75535359866290608</c:v>
                </c:pt>
                <c:pt idx="22">
                  <c:v>0.66383019409121335</c:v>
                </c:pt>
              </c:numCache>
            </c:numRef>
          </c:val>
        </c:ser>
        <c:ser>
          <c:idx val="1"/>
          <c:order val="1"/>
          <c:tx>
            <c:strRef>
              <c:f>Sheet1!$A$7</c:f>
              <c:strCache>
                <c:ptCount val="1"/>
                <c:pt idx="0">
                  <c:v>Debt Equity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Sheet1!$B$7:$X$7</c:f>
              <c:numCache>
                <c:formatCode>0.00</c:formatCode>
                <c:ptCount val="23"/>
                <c:pt idx="0">
                  <c:v>-8.567221510883483</c:v>
                </c:pt>
                <c:pt idx="1">
                  <c:v>4.667507886435331</c:v>
                </c:pt>
                <c:pt idx="2">
                  <c:v>5.9465849387040279</c:v>
                </c:pt>
                <c:pt idx="3">
                  <c:v>5.4514492753623189</c:v>
                </c:pt>
                <c:pt idx="4">
                  <c:v>5.2575227431770468</c:v>
                </c:pt>
                <c:pt idx="6" formatCode="#,##0.00">
                  <c:v>2.2351945854483923</c:v>
                </c:pt>
                <c:pt idx="7" formatCode="#,##0.00">
                  <c:v>2.9324215607401447</c:v>
                </c:pt>
                <c:pt idx="8" formatCode="#,##0.00">
                  <c:v>3.7485094850948508</c:v>
                </c:pt>
                <c:pt idx="9" formatCode="#,##0.00">
                  <c:v>4.9716224552745221</c:v>
                </c:pt>
                <c:pt idx="10" formatCode="#,##0.00">
                  <c:v>3.6223506743737959</c:v>
                </c:pt>
                <c:pt idx="12">
                  <c:v>0.55488815244407619</c:v>
                </c:pt>
                <c:pt idx="13">
                  <c:v>0.41161566946014422</c:v>
                </c:pt>
                <c:pt idx="14">
                  <c:v>0.41964285714285715</c:v>
                </c:pt>
                <c:pt idx="15">
                  <c:v>0.70350779510022277</c:v>
                </c:pt>
                <c:pt idx="16">
                  <c:v>0.80109541654655525</c:v>
                </c:pt>
                <c:pt idx="18">
                  <c:v>3.0425627240143371</c:v>
                </c:pt>
                <c:pt idx="19">
                  <c:v>2.2279739458347616</c:v>
                </c:pt>
                <c:pt idx="20">
                  <c:v>2.4791666666666665</c:v>
                </c:pt>
                <c:pt idx="21">
                  <c:v>3.0875320239111872</c:v>
                </c:pt>
                <c:pt idx="22">
                  <c:v>1.9746871444823664</c:v>
                </c:pt>
              </c:numCache>
            </c:numRef>
          </c:val>
        </c:ser>
        <c:ser>
          <c:idx val="2"/>
          <c:order val="2"/>
          <c:tx>
            <c:strRef>
              <c:f>Sheet1!$A$8</c:f>
              <c:strCache>
                <c:ptCount val="1"/>
                <c:pt idx="0">
                  <c:v>Equity Multiplier</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Sheet1!$B$8:$X$8</c:f>
              <c:numCache>
                <c:formatCode>0.00</c:formatCode>
                <c:ptCount val="23"/>
                <c:pt idx="0">
                  <c:v>-7.567221510883483</c:v>
                </c:pt>
                <c:pt idx="1">
                  <c:v>5.667507886435331</c:v>
                </c:pt>
                <c:pt idx="2">
                  <c:v>6.9465849387040279</c:v>
                </c:pt>
                <c:pt idx="3">
                  <c:v>6.4514492753623189</c:v>
                </c:pt>
                <c:pt idx="4">
                  <c:v>6.2575227431770468</c:v>
                </c:pt>
                <c:pt idx="6" formatCode="#,##0.00">
                  <c:v>3.2351945854483923</c:v>
                </c:pt>
                <c:pt idx="7" formatCode="#,##0.00">
                  <c:v>3.9324215607401447</c:v>
                </c:pt>
                <c:pt idx="8" formatCode="#,##0.00">
                  <c:v>4.7485094850948508</c:v>
                </c:pt>
                <c:pt idx="9" formatCode="#,##0.00">
                  <c:v>5.985811227637261</c:v>
                </c:pt>
                <c:pt idx="10" formatCode="#,##0.00">
                  <c:v>4.6348747591522157</c:v>
                </c:pt>
                <c:pt idx="12">
                  <c:v>1.5548881524440763</c:v>
                </c:pt>
                <c:pt idx="13">
                  <c:v>1.4116156694601443</c:v>
                </c:pt>
                <c:pt idx="14">
                  <c:v>1.4196428571428572</c:v>
                </c:pt>
                <c:pt idx="15">
                  <c:v>1.7035077951002227</c:v>
                </c:pt>
                <c:pt idx="16">
                  <c:v>1.8010954165465551</c:v>
                </c:pt>
                <c:pt idx="18">
                  <c:v>4.0425627240143367</c:v>
                </c:pt>
                <c:pt idx="19">
                  <c:v>3.2279739458347616</c:v>
                </c:pt>
                <c:pt idx="20">
                  <c:v>3.4791666666666665</c:v>
                </c:pt>
                <c:pt idx="21">
                  <c:v>4.0875320239111872</c:v>
                </c:pt>
                <c:pt idx="22">
                  <c:v>2.9746871444823664</c:v>
                </c:pt>
              </c:numCache>
            </c:numRef>
          </c:val>
        </c:ser>
        <c:ser>
          <c:idx val="3"/>
          <c:order val="3"/>
          <c:tx>
            <c:strRef>
              <c:f>Sheet1!$A$9</c:f>
              <c:strCache>
                <c:ptCount val="1"/>
                <c:pt idx="0">
                  <c:v>Long-term Debt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Sheet1!$B$9:$X$9</c:f>
              <c:numCache>
                <c:formatCode>0.00</c:formatCode>
                <c:ptCount val="23"/>
                <c:pt idx="0">
                  <c:v>1.2329952267303104</c:v>
                </c:pt>
                <c:pt idx="1">
                  <c:v>0.75547670472076522</c:v>
                </c:pt>
                <c:pt idx="2">
                  <c:v>0.79773290825363086</c:v>
                </c:pt>
                <c:pt idx="3">
                  <c:v>0.78335949764521196</c:v>
                </c:pt>
                <c:pt idx="4">
                  <c:v>0.76442466205077486</c:v>
                </c:pt>
                <c:pt idx="6" formatCode="#,##0.00">
                  <c:v>0.89590211691590604</c:v>
                </c:pt>
                <c:pt idx="7" formatCode="#,##0.00">
                  <c:v>0.96156730408698909</c:v>
                </c:pt>
                <c:pt idx="8" formatCode="#,##0.00">
                  <c:v>1.0185416666666667</c:v>
                </c:pt>
                <c:pt idx="9" formatCode="#,##0.00">
                  <c:v>1.0484091352723013</c:v>
                </c:pt>
                <c:pt idx="10" formatCode="#,##0.00">
                  <c:v>0.95640663607483234</c:v>
                </c:pt>
                <c:pt idx="12" formatCode="_(* #,##0.00_);_(* \(#,##0.00\);_(* &quot;-&quot;??_);_(@_)">
                  <c:v>0.30422251044819137</c:v>
                </c:pt>
                <c:pt idx="13" formatCode="_(* #,##0.00_);_(* \(#,##0.00\);_(* &quot;-&quot;??_);_(@_)">
                  <c:v>0.22807281480367084</c:v>
                </c:pt>
                <c:pt idx="14" formatCode="_(* #,##0.00_);_(* \(#,##0.00\);_(* &quot;-&quot;??_);_(@_)">
                  <c:v>0.24324324324324326</c:v>
                </c:pt>
                <c:pt idx="15" formatCode="_(* #,##0.00_);_(* \(#,##0.00\);_(* &quot;-&quot;??_);_(@_)">
                  <c:v>0.3428466886205635</c:v>
                </c:pt>
                <c:pt idx="16" formatCode="_(* #,##0.00_);_(* \(#,##0.00\);_(* &quot;-&quot;??_);_(@_)">
                  <c:v>0.37506755539542425</c:v>
                </c:pt>
                <c:pt idx="18">
                  <c:v>0.7008042895442359</c:v>
                </c:pt>
                <c:pt idx="19">
                  <c:v>0.62798112485652335</c:v>
                </c:pt>
                <c:pt idx="20">
                  <c:v>0.64001607071112898</c:v>
                </c:pt>
                <c:pt idx="21">
                  <c:v>0.68368449486763916</c:v>
                </c:pt>
                <c:pt idx="22">
                  <c:v>0.57531102790192057</c:v>
                </c:pt>
              </c:numCache>
            </c:numRef>
          </c:val>
        </c:ser>
        <c:dLbls>
          <c:showLegendKey val="0"/>
          <c:showVal val="0"/>
          <c:showCatName val="0"/>
          <c:showSerName val="0"/>
          <c:showPercent val="0"/>
          <c:showBubbleSize val="0"/>
        </c:dLbls>
        <c:gapWidth val="150"/>
        <c:axId val="41354368"/>
        <c:axId val="66777472"/>
      </c:barChart>
      <c:catAx>
        <c:axId val="41354368"/>
        <c:scaling>
          <c:orientation val="minMax"/>
        </c:scaling>
        <c:delete val="0"/>
        <c:axPos val="b"/>
        <c:majorTickMark val="none"/>
        <c:minorTickMark val="none"/>
        <c:tickLblPos val="nextTo"/>
        <c:crossAx val="66777472"/>
        <c:crosses val="autoZero"/>
        <c:auto val="1"/>
        <c:lblAlgn val="ctr"/>
        <c:lblOffset val="100"/>
        <c:noMultiLvlLbl val="0"/>
      </c:catAx>
      <c:valAx>
        <c:axId val="66777472"/>
        <c:scaling>
          <c:orientation val="minMax"/>
        </c:scaling>
        <c:delete val="0"/>
        <c:axPos val="l"/>
        <c:majorGridlines/>
        <c:numFmt formatCode="0.00" sourceLinked="1"/>
        <c:majorTickMark val="out"/>
        <c:minorTickMark val="none"/>
        <c:tickLblPos val="nextTo"/>
        <c:crossAx val="41354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Coverage Ratios</a:t>
            </a:r>
          </a:p>
        </c:rich>
      </c:tx>
      <c:layout/>
      <c:overlay val="0"/>
    </c:title>
    <c:autoTitleDeleted val="0"/>
    <c:plotArea>
      <c:layout/>
      <c:barChart>
        <c:barDir val="col"/>
        <c:grouping val="clustered"/>
        <c:varyColors val="0"/>
        <c:ser>
          <c:idx val="0"/>
          <c:order val="0"/>
          <c:tx>
            <c:strRef>
              <c:f>Sheet1!$A$12</c:f>
              <c:strCache>
                <c:ptCount val="1"/>
                <c:pt idx="0">
                  <c:v>Times Interest Earned</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Sheet1!$B$12:$X$12</c:f>
              <c:numCache>
                <c:formatCode>0.00</c:formatCode>
                <c:ptCount val="23"/>
                <c:pt idx="0">
                  <c:v>3.2073170731707319</c:v>
                </c:pt>
                <c:pt idx="1">
                  <c:v>3.8611111111111112</c:v>
                </c:pt>
                <c:pt idx="2">
                  <c:v>-1.2881355932203389</c:v>
                </c:pt>
                <c:pt idx="3">
                  <c:v>4.8159509202453989</c:v>
                </c:pt>
                <c:pt idx="4">
                  <c:v>6.4565217391304346</c:v>
                </c:pt>
                <c:pt idx="6" formatCode="#,##0.00">
                  <c:v>2.8767123287671232</c:v>
                </c:pt>
                <c:pt idx="7" formatCode="#,##0.00">
                  <c:v>2.5210084033613445</c:v>
                </c:pt>
                <c:pt idx="8" formatCode="#,##0.00">
                  <c:v>0.11304347826086956</c:v>
                </c:pt>
                <c:pt idx="9" formatCode="#,##0.00">
                  <c:v>2.9476190476190478</c:v>
                </c:pt>
                <c:pt idx="10" formatCode="#,##0.00">
                  <c:v>5.1071428571428568</c:v>
                </c:pt>
                <c:pt idx="12" formatCode="_(* #,##0.00_);_(* \(#,##0.00\);_(* &quot;-&quot;??_);_(@_)">
                  <c:v>2.6842105263157894</c:v>
                </c:pt>
                <c:pt idx="13" formatCode="_(* #,##0.00_);_(* \(#,##0.00\);_(* &quot;-&quot;??_);_(@_)">
                  <c:v>2</c:v>
                </c:pt>
                <c:pt idx="14" formatCode="_(* #,##0.00_);_(* \(#,##0.00\);_(* &quot;-&quot;??_);_(@_)">
                  <c:v>0.8571428571428571</c:v>
                </c:pt>
                <c:pt idx="15" formatCode="_(* #,##0.00_);_(* \(#,##0.00\);_(* &quot;-&quot;??_);_(@_)">
                  <c:v>4.8533333333333335</c:v>
                </c:pt>
                <c:pt idx="16" formatCode="_(* #,##0.00_);_(* \(#,##0.00\);_(* &quot;-&quot;??_);_(@_)">
                  <c:v>8.9534883720930232</c:v>
                </c:pt>
                <c:pt idx="18">
                  <c:v>5.0460526315789478</c:v>
                </c:pt>
                <c:pt idx="19">
                  <c:v>4.2994011976047908</c:v>
                </c:pt>
                <c:pt idx="20">
                  <c:v>5.2105263157894735</c:v>
                </c:pt>
                <c:pt idx="21">
                  <c:v>-10.375</c:v>
                </c:pt>
                <c:pt idx="22">
                  <c:v>9.7260273972602747</c:v>
                </c:pt>
              </c:numCache>
            </c:numRef>
          </c:val>
        </c:ser>
        <c:ser>
          <c:idx val="1"/>
          <c:order val="1"/>
          <c:tx>
            <c:strRef>
              <c:f>Sheet1!$A$13</c:f>
              <c:strCache>
                <c:ptCount val="1"/>
                <c:pt idx="0">
                  <c:v>Cash Coverage</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Sheet1!$B$13:$X$13</c:f>
              <c:numCache>
                <c:formatCode>0.00</c:formatCode>
                <c:ptCount val="23"/>
                <c:pt idx="0">
                  <c:v>4.2317073170731705</c:v>
                </c:pt>
                <c:pt idx="1">
                  <c:v>4.8499999999999996</c:v>
                </c:pt>
                <c:pt idx="2">
                  <c:v>0.27966101694915252</c:v>
                </c:pt>
                <c:pt idx="3">
                  <c:v>5.9815950920245395</c:v>
                </c:pt>
                <c:pt idx="4">
                  <c:v>7.5271739130434785</c:v>
                </c:pt>
                <c:pt idx="6" formatCode="#,##0.00">
                  <c:v>4.0867579908675795</c:v>
                </c:pt>
                <c:pt idx="7" formatCode="#,##0.00">
                  <c:v>3.7184873949579833</c:v>
                </c:pt>
                <c:pt idx="8" formatCode="#,##0.00">
                  <c:v>1.4565217391304348</c:v>
                </c:pt>
                <c:pt idx="9" formatCode="#,##0.00">
                  <c:v>4.4857142857142858</c:v>
                </c:pt>
                <c:pt idx="10" formatCode="#,##0.00">
                  <c:v>6.9285714285714288</c:v>
                </c:pt>
                <c:pt idx="12" formatCode="_(* #,##0.00_);_(* \(#,##0.00\);_(* &quot;-&quot;??_);_(@_)">
                  <c:v>8.0350877192982448</c:v>
                </c:pt>
                <c:pt idx="13" formatCode="_(* #,##0.00_);_(* \(#,##0.00\);_(* &quot;-&quot;??_);_(@_)">
                  <c:v>7.166666666666667</c:v>
                </c:pt>
                <c:pt idx="14" formatCode="_(* #,##0.00_);_(* \(#,##0.00\);_(* &quot;-&quot;??_);_(@_)">
                  <c:v>5.6785714285714288</c:v>
                </c:pt>
                <c:pt idx="15" formatCode="_(* #,##0.00_);_(* \(#,##0.00\);_(* &quot;-&quot;??_);_(@_)">
                  <c:v>8.1733333333333338</c:v>
                </c:pt>
                <c:pt idx="16" formatCode="_(* #,##0.00_);_(* \(#,##0.00\);_(* &quot;-&quot;??_);_(@_)">
                  <c:v>13.930232558139535</c:v>
                </c:pt>
                <c:pt idx="18">
                  <c:v>6.2171052631578947</c:v>
                </c:pt>
                <c:pt idx="19">
                  <c:v>5.3353293413173652</c:v>
                </c:pt>
                <c:pt idx="20">
                  <c:v>6.7719298245614032</c:v>
                </c:pt>
                <c:pt idx="21">
                  <c:v>-8.0749999999999993</c:v>
                </c:pt>
                <c:pt idx="22">
                  <c:v>12</c:v>
                </c:pt>
              </c:numCache>
            </c:numRef>
          </c:val>
        </c:ser>
        <c:dLbls>
          <c:showLegendKey val="0"/>
          <c:showVal val="0"/>
          <c:showCatName val="0"/>
          <c:showSerName val="0"/>
          <c:showPercent val="0"/>
          <c:showBubbleSize val="0"/>
        </c:dLbls>
        <c:gapWidth val="150"/>
        <c:axId val="81209216"/>
        <c:axId val="92519040"/>
      </c:barChart>
      <c:catAx>
        <c:axId val="81209216"/>
        <c:scaling>
          <c:orientation val="minMax"/>
        </c:scaling>
        <c:delete val="0"/>
        <c:axPos val="b"/>
        <c:majorTickMark val="none"/>
        <c:minorTickMark val="none"/>
        <c:tickLblPos val="nextTo"/>
        <c:crossAx val="92519040"/>
        <c:crosses val="autoZero"/>
        <c:auto val="1"/>
        <c:lblAlgn val="ctr"/>
        <c:lblOffset val="100"/>
        <c:noMultiLvlLbl val="0"/>
      </c:catAx>
      <c:valAx>
        <c:axId val="92519040"/>
        <c:scaling>
          <c:orientation val="minMax"/>
        </c:scaling>
        <c:delete val="0"/>
        <c:axPos val="l"/>
        <c:majorGridlines/>
        <c:numFmt formatCode="0.00" sourceLinked="1"/>
        <c:majorTickMark val="out"/>
        <c:minorTickMark val="none"/>
        <c:tickLblPos val="nextTo"/>
        <c:crossAx val="81209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Liquidity Ratios</a:t>
            </a:r>
          </a:p>
        </c:rich>
      </c:tx>
      <c:layout>
        <c:manualLayout>
          <c:xMode val="edge"/>
          <c:yMode val="edge"/>
          <c:x val="0.39452673739463645"/>
          <c:y val="2.8003986709289008E-2"/>
        </c:manualLayout>
      </c:layout>
      <c:overlay val="0"/>
    </c:title>
    <c:autoTitleDeleted val="0"/>
    <c:plotArea>
      <c:layout/>
      <c:barChart>
        <c:barDir val="col"/>
        <c:grouping val="clustered"/>
        <c:varyColors val="0"/>
        <c:ser>
          <c:idx val="0"/>
          <c:order val="0"/>
          <c:tx>
            <c:strRef>
              <c:f>Sheet1!$A$15</c:f>
              <c:strCache>
                <c:ptCount val="1"/>
                <c:pt idx="0">
                  <c:v>Current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Sheet1!$B$15:$X$15</c:f>
              <c:numCache>
                <c:formatCode>0.00</c:formatCode>
                <c:ptCount val="23"/>
                <c:pt idx="0">
                  <c:v>0.51759186864738072</c:v>
                </c:pt>
                <c:pt idx="1">
                  <c:v>1.3522590963614554</c:v>
                </c:pt>
                <c:pt idx="2">
                  <c:v>1.2466112811543506</c:v>
                </c:pt>
                <c:pt idx="3">
                  <c:v>1.3296486379786814</c:v>
                </c:pt>
                <c:pt idx="4">
                  <c:v>1.2420027816411683</c:v>
                </c:pt>
                <c:pt idx="6" formatCode="#,##0.00">
                  <c:v>1.2720883534136547</c:v>
                </c:pt>
                <c:pt idx="7" formatCode="#,##0.00">
                  <c:v>1.0670985654789449</c:v>
                </c:pt>
                <c:pt idx="8" formatCode="#,##0.00">
                  <c:v>0.73556980759743462</c:v>
                </c:pt>
                <c:pt idx="9" formatCode="#,##0.00">
                  <c:v>0.8058035714285714</c:v>
                </c:pt>
                <c:pt idx="10" formatCode="#,##0.00">
                  <c:v>0.8681580199904807</c:v>
                </c:pt>
                <c:pt idx="12" formatCode="_(* #,##0.00_);_(* \(#,##0.00\);_(* &quot;-&quot;??_);_(@_)">
                  <c:v>2.801056338028169</c:v>
                </c:pt>
                <c:pt idx="13" formatCode="_(* #,##0.00_);_(* \(#,##0.00\);_(* &quot;-&quot;??_);_(@_)">
                  <c:v>3.6325503355704698</c:v>
                </c:pt>
                <c:pt idx="14" formatCode="_(* #,##0.00_);_(* \(#,##0.00\);_(* &quot;-&quot;??_);_(@_)">
                  <c:v>4.0181818181818185</c:v>
                </c:pt>
                <c:pt idx="15" formatCode="_(* #,##0.00_);_(* \(#,##0.00\);_(* &quot;-&quot;??_);_(@_)">
                  <c:v>1.6186830015313936</c:v>
                </c:pt>
                <c:pt idx="16" formatCode="_(* #,##0.00_);_(* \(#,##0.00\);_(* &quot;-&quot;??_);_(@_)">
                  <c:v>1.5279770444763272</c:v>
                </c:pt>
                <c:pt idx="18">
                  <c:v>1.106845809341011</c:v>
                </c:pt>
                <c:pt idx="19">
                  <c:v>1.1123809523809525</c:v>
                </c:pt>
                <c:pt idx="20">
                  <c:v>0.92307692307692313</c:v>
                </c:pt>
                <c:pt idx="21">
                  <c:v>0.88243430152143842</c:v>
                </c:pt>
                <c:pt idx="22">
                  <c:v>0.94311926605504592</c:v>
                </c:pt>
              </c:numCache>
            </c:numRef>
          </c:val>
        </c:ser>
        <c:ser>
          <c:idx val="1"/>
          <c:order val="1"/>
          <c:tx>
            <c:strRef>
              <c:f>Sheet1!$A$16</c:f>
              <c:strCache>
                <c:ptCount val="1"/>
                <c:pt idx="0">
                  <c:v>Quick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Sheet1!$B$16:$X$16</c:f>
              <c:numCache>
                <c:formatCode>0.00</c:formatCode>
                <c:ptCount val="23"/>
                <c:pt idx="0">
                  <c:v>0.51329163408913214</c:v>
                </c:pt>
                <c:pt idx="1">
                  <c:v>0.7568972411035586</c:v>
                </c:pt>
                <c:pt idx="2">
                  <c:v>0.61521644075207693</c:v>
                </c:pt>
                <c:pt idx="3">
                  <c:v>0.54757204895380973</c:v>
                </c:pt>
                <c:pt idx="4">
                  <c:v>0.70062586926286508</c:v>
                </c:pt>
                <c:pt idx="6" formatCode="#,##0.00">
                  <c:v>0.86445783132530118</c:v>
                </c:pt>
                <c:pt idx="7" formatCode="#,##0.00">
                  <c:v>0.69597408607126332</c:v>
                </c:pt>
                <c:pt idx="8" formatCode="#,##0.00">
                  <c:v>0.34928465712876172</c:v>
                </c:pt>
                <c:pt idx="9" formatCode="#,##0.00">
                  <c:v>0.43898809523809523</c:v>
                </c:pt>
                <c:pt idx="10" formatCode="#,##0.00">
                  <c:v>0.52831984769157547</c:v>
                </c:pt>
                <c:pt idx="12" formatCode="_(* #,##0.00_);_(* \(#,##0.00\);_(* &quot;-&quot;??_);_(@_)">
                  <c:v>2.647887323943662</c:v>
                </c:pt>
                <c:pt idx="13" formatCode="_(* #,##0.00_);_(* \(#,##0.00\);_(* &quot;-&quot;??_);_(@_)">
                  <c:v>3.4647651006711411</c:v>
                </c:pt>
                <c:pt idx="14" formatCode="_(* #,##0.00_);_(* \(#,##0.00\);_(* &quot;-&quot;??_);_(@_)">
                  <c:v>3.7494949494949497</c:v>
                </c:pt>
                <c:pt idx="15" formatCode="_(* #,##0.00_);_(* \(#,##0.00\);_(* &quot;-&quot;??_);_(@_)">
                  <c:v>1.3583460949464012</c:v>
                </c:pt>
                <c:pt idx="16" formatCode="_(* #,##0.00_);_(* \(#,##0.00\);_(* &quot;-&quot;??_);_(@_)">
                  <c:v>1.3127690100430416</c:v>
                </c:pt>
                <c:pt idx="18">
                  <c:v>0.88227767114523348</c:v>
                </c:pt>
                <c:pt idx="19">
                  <c:v>0.89142857142857146</c:v>
                </c:pt>
                <c:pt idx="20">
                  <c:v>0.7352785145888594</c:v>
                </c:pt>
                <c:pt idx="21">
                  <c:v>0.69156293222683263</c:v>
                </c:pt>
                <c:pt idx="22">
                  <c:v>0.67431192660550454</c:v>
                </c:pt>
              </c:numCache>
            </c:numRef>
          </c:val>
        </c:ser>
        <c:ser>
          <c:idx val="2"/>
          <c:order val="2"/>
          <c:tx>
            <c:strRef>
              <c:f>Sheet1!$A$17</c:f>
              <c:strCache>
                <c:ptCount val="1"/>
                <c:pt idx="0">
                  <c:v>Cash Ratio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Sheet1!$B$17:$X$17</c:f>
              <c:numCache>
                <c:formatCode>0.00</c:formatCode>
                <c:ptCount val="23"/>
                <c:pt idx="0">
                  <c:v>3.98749022673964E-2</c:v>
                </c:pt>
                <c:pt idx="1">
                  <c:v>0.20191923230707717</c:v>
                </c:pt>
                <c:pt idx="2">
                  <c:v>5.0284215128989944E-2</c:v>
                </c:pt>
                <c:pt idx="3">
                  <c:v>5.2901697591788394E-2</c:v>
                </c:pt>
                <c:pt idx="4">
                  <c:v>0.11543810848400557</c:v>
                </c:pt>
                <c:pt idx="6" formatCode="#,##0.00">
                  <c:v>0.22791164658634538</c:v>
                </c:pt>
                <c:pt idx="7" formatCode="#,##0.00">
                  <c:v>0.34844979176307267</c:v>
                </c:pt>
                <c:pt idx="8" formatCode="#,##0.00">
                  <c:v>4.2920572274296992E-2</c:v>
                </c:pt>
                <c:pt idx="9" formatCode="#,##0.00">
                  <c:v>0.14471726190476192</c:v>
                </c:pt>
                <c:pt idx="10" formatCode="#,##0.00">
                  <c:v>7.710613993336507E-2</c:v>
                </c:pt>
                <c:pt idx="12" formatCode="_(* #,##0.00_);_(* \(#,##0.00\);_(* &quot;-&quot;??_);_(@_)">
                  <c:v>1.9753521126760563</c:v>
                </c:pt>
                <c:pt idx="13" formatCode="_(* #,##0.00_);_(* \(#,##0.00\);_(* &quot;-&quot;??_);_(@_)">
                  <c:v>2.7416107382550337</c:v>
                </c:pt>
                <c:pt idx="14" formatCode="_(* #,##0.00_);_(* \(#,##0.00\);_(* &quot;-&quot;??_);_(@_)">
                  <c:v>2.680808080808081</c:v>
                </c:pt>
                <c:pt idx="15" formatCode="_(* #,##0.00_);_(* \(#,##0.00\);_(* &quot;-&quot;??_);_(@_)">
                  <c:v>0.65543644716692195</c:v>
                </c:pt>
                <c:pt idx="16" formatCode="_(* #,##0.00_);_(* \(#,##0.00\);_(* &quot;-&quot;??_);_(@_)">
                  <c:v>0.58680057388809181</c:v>
                </c:pt>
                <c:pt idx="18">
                  <c:v>9.0850927703134993E-2</c:v>
                </c:pt>
                <c:pt idx="19">
                  <c:v>9.9047619047619051E-2</c:v>
                </c:pt>
                <c:pt idx="20">
                  <c:v>8.2228116710875335E-2</c:v>
                </c:pt>
                <c:pt idx="21">
                  <c:v>6.2701705855232825E-2</c:v>
                </c:pt>
                <c:pt idx="22">
                  <c:v>9.6330275229357804E-2</c:v>
                </c:pt>
              </c:numCache>
            </c:numRef>
          </c:val>
        </c:ser>
        <c:dLbls>
          <c:showLegendKey val="0"/>
          <c:showVal val="0"/>
          <c:showCatName val="0"/>
          <c:showSerName val="0"/>
          <c:showPercent val="0"/>
          <c:showBubbleSize val="0"/>
        </c:dLbls>
        <c:gapWidth val="150"/>
        <c:axId val="33577600"/>
        <c:axId val="33599872"/>
      </c:barChart>
      <c:catAx>
        <c:axId val="33577600"/>
        <c:scaling>
          <c:orientation val="minMax"/>
        </c:scaling>
        <c:delete val="0"/>
        <c:axPos val="b"/>
        <c:majorTickMark val="none"/>
        <c:minorTickMark val="none"/>
        <c:tickLblPos val="nextTo"/>
        <c:crossAx val="33599872"/>
        <c:crosses val="autoZero"/>
        <c:auto val="1"/>
        <c:lblAlgn val="ctr"/>
        <c:lblOffset val="100"/>
        <c:noMultiLvlLbl val="0"/>
      </c:catAx>
      <c:valAx>
        <c:axId val="33599872"/>
        <c:scaling>
          <c:orientation val="minMax"/>
        </c:scaling>
        <c:delete val="0"/>
        <c:axPos val="l"/>
        <c:majorGridlines/>
        <c:numFmt formatCode="0.00" sourceLinked="1"/>
        <c:majorTickMark val="out"/>
        <c:minorTickMark val="none"/>
        <c:tickLblPos val="nextTo"/>
        <c:crossAx val="33577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Receivables TO</a:t>
            </a:r>
          </a:p>
        </c:rich>
      </c:tx>
      <c:layout/>
      <c:overlay val="0"/>
    </c:title>
    <c:autoTitleDeleted val="0"/>
    <c:plotArea>
      <c:layout/>
      <c:barChart>
        <c:barDir val="col"/>
        <c:grouping val="clustered"/>
        <c:varyColors val="0"/>
        <c:ser>
          <c:idx val="0"/>
          <c:order val="0"/>
          <c:tx>
            <c:strRef>
              <c:f>Sheet1!$A$19</c:f>
              <c:strCache>
                <c:ptCount val="1"/>
                <c:pt idx="0">
                  <c:v>Recivables TO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Sheet1!$B$19:$X$19</c:f>
              <c:numCache>
                <c:formatCode>0.00</c:formatCode>
                <c:ptCount val="23"/>
                <c:pt idx="0">
                  <c:v>14.076571428571429</c:v>
                </c:pt>
                <c:pt idx="1">
                  <c:v>12.463752665245202</c:v>
                </c:pt>
                <c:pt idx="2">
                  <c:v>13.016706443914082</c:v>
                </c:pt>
                <c:pt idx="3">
                  <c:v>14.341870824053451</c:v>
                </c:pt>
                <c:pt idx="4">
                  <c:v>11.315331010452962</c:v>
                </c:pt>
                <c:pt idx="6" formatCode="#,##0.00">
                  <c:v>9.1447154471544714</c:v>
                </c:pt>
                <c:pt idx="7" formatCode="#,##0.00">
                  <c:v>9.0878136200716852</c:v>
                </c:pt>
                <c:pt idx="8" formatCode="#,##0.00">
                  <c:v>9.4051896207584829</c:v>
                </c:pt>
                <c:pt idx="9" formatCode="#,##0.00">
                  <c:v>9.8286189683860226</c:v>
                </c:pt>
                <c:pt idx="10" formatCode="#,##0.00">
                  <c:v>9.2387387387387392</c:v>
                </c:pt>
                <c:pt idx="12" formatCode="_(* #,##0.00_);_(* \(#,##0.00\);_(* &quot;-&quot;??_);_(@_)">
                  <c:v>15.736170212765957</c:v>
                </c:pt>
                <c:pt idx="13" formatCode="_(* #,##0.00_);_(* \(#,##0.00\);_(* &quot;-&quot;??_);_(@_)">
                  <c:v>16.481308411214954</c:v>
                </c:pt>
                <c:pt idx="14" formatCode="_(* #,##0.00_);_(* \(#,##0.00\);_(* &quot;-&quot;??_);_(@_)">
                  <c:v>14</c:v>
                </c:pt>
                <c:pt idx="15" formatCode="_(* #,##0.00_);_(* \(#,##0.00\);_(* &quot;-&quot;??_);_(@_)">
                  <c:v>12.580327868852459</c:v>
                </c:pt>
                <c:pt idx="16" formatCode="_(* #,##0.00_);_(* \(#,##0.00\);_(* &quot;-&quot;??_);_(@_)">
                  <c:v>11.026548672566372</c:v>
                </c:pt>
                <c:pt idx="18">
                  <c:v>4.6593647316538886</c:v>
                </c:pt>
                <c:pt idx="19">
                  <c:v>4.2552486187845302</c:v>
                </c:pt>
                <c:pt idx="20">
                  <c:v>4.4536817102137771</c:v>
                </c:pt>
                <c:pt idx="21">
                  <c:v>4.9150401836968998</c:v>
                </c:pt>
                <c:pt idx="22">
                  <c:v>5.0638792102206738</c:v>
                </c:pt>
              </c:numCache>
            </c:numRef>
          </c:val>
        </c:ser>
        <c:dLbls>
          <c:showLegendKey val="0"/>
          <c:showVal val="0"/>
          <c:showCatName val="0"/>
          <c:showSerName val="0"/>
          <c:showPercent val="0"/>
          <c:showBubbleSize val="0"/>
        </c:dLbls>
        <c:gapWidth val="150"/>
        <c:axId val="33611136"/>
        <c:axId val="33617024"/>
      </c:barChart>
      <c:catAx>
        <c:axId val="33611136"/>
        <c:scaling>
          <c:orientation val="minMax"/>
        </c:scaling>
        <c:delete val="0"/>
        <c:axPos val="b"/>
        <c:majorTickMark val="out"/>
        <c:minorTickMark val="none"/>
        <c:tickLblPos val="nextTo"/>
        <c:crossAx val="33617024"/>
        <c:crosses val="autoZero"/>
        <c:auto val="1"/>
        <c:lblAlgn val="ctr"/>
        <c:lblOffset val="100"/>
        <c:noMultiLvlLbl val="0"/>
      </c:catAx>
      <c:valAx>
        <c:axId val="33617024"/>
        <c:scaling>
          <c:orientation val="minMax"/>
        </c:scaling>
        <c:delete val="0"/>
        <c:axPos val="l"/>
        <c:majorGridlines/>
        <c:numFmt formatCode="0.00" sourceLinked="1"/>
        <c:majorTickMark val="out"/>
        <c:minorTickMark val="none"/>
        <c:tickLblPos val="nextTo"/>
        <c:crossAx val="33611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Sheet1!$A$21</c:f>
              <c:strCache>
                <c:ptCount val="1"/>
                <c:pt idx="0">
                  <c:v>Payables TO</c:v>
                </c:pt>
              </c:strCache>
            </c:strRef>
          </c:tx>
          <c:invertIfNegative val="0"/>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Sheet1!$B$21:$X$21</c:f>
              <c:numCache>
                <c:formatCode>0.00</c:formatCode>
                <c:ptCount val="23"/>
                <c:pt idx="0">
                  <c:v>21.516423357664234</c:v>
                </c:pt>
                <c:pt idx="1">
                  <c:v>17.343848580441641</c:v>
                </c:pt>
                <c:pt idx="2">
                  <c:v>19.679715302491104</c:v>
                </c:pt>
                <c:pt idx="3">
                  <c:v>17.178977272727273</c:v>
                </c:pt>
                <c:pt idx="4">
                  <c:v>14.958174904942966</c:v>
                </c:pt>
                <c:pt idx="6" formatCode="#,##0.00">
                  <c:v>2.8596059113300494</c:v>
                </c:pt>
                <c:pt idx="7" formatCode="#,##0.00">
                  <c:v>2.6733167082294265</c:v>
                </c:pt>
                <c:pt idx="8" formatCode="#,##0.00">
                  <c:v>2.6194125159642403</c:v>
                </c:pt>
                <c:pt idx="9" formatCode="#,##0.00">
                  <c:v>2.8215010141987831</c:v>
                </c:pt>
                <c:pt idx="10" formatCode="#,##0.00">
                  <c:v>4.3081232492997197</c:v>
                </c:pt>
                <c:pt idx="12" formatCode="_(* #,##0.00_);_(* \(#,##0.00\);_(* &quot;-&quot;??_);_(@_)">
                  <c:v>10.194444444444445</c:v>
                </c:pt>
                <c:pt idx="13" formatCode="_(* #,##0.00_);_(* \(#,##0.00\);_(* &quot;-&quot;??_);_(@_)">
                  <c:v>10.296551724137931</c:v>
                </c:pt>
                <c:pt idx="14" formatCode="_(* #,##0.00_);_(* \(#,##0.00\);_(* &quot;-&quot;??_);_(@_)">
                  <c:v>7.4591836734693882</c:v>
                </c:pt>
                <c:pt idx="15" formatCode="_(* #,##0.00_);_(* \(#,##0.00\);_(* &quot;-&quot;??_);_(@_)">
                  <c:v>4.9779874213836477</c:v>
                </c:pt>
                <c:pt idx="16" formatCode="_(* #,##0.00_);_(* \(#,##0.00\);_(* &quot;-&quot;??_);_(@_)">
                  <c:v>5.0297029702970297</c:v>
                </c:pt>
                <c:pt idx="18">
                  <c:v>6.4064748201438846</c:v>
                </c:pt>
                <c:pt idx="19">
                  <c:v>5.7919708029197077</c:v>
                </c:pt>
                <c:pt idx="20">
                  <c:v>5.773076923076923</c:v>
                </c:pt>
                <c:pt idx="21">
                  <c:v>5.1329113924050631</c:v>
                </c:pt>
                <c:pt idx="22">
                  <c:v>4.5842105263157897</c:v>
                </c:pt>
              </c:numCache>
            </c:numRef>
          </c:val>
        </c:ser>
        <c:dLbls>
          <c:showLegendKey val="0"/>
          <c:showVal val="0"/>
          <c:showCatName val="0"/>
          <c:showSerName val="0"/>
          <c:showPercent val="0"/>
          <c:showBubbleSize val="0"/>
        </c:dLbls>
        <c:gapWidth val="150"/>
        <c:axId val="33633024"/>
        <c:axId val="33634560"/>
      </c:barChart>
      <c:catAx>
        <c:axId val="33633024"/>
        <c:scaling>
          <c:orientation val="minMax"/>
        </c:scaling>
        <c:delete val="0"/>
        <c:axPos val="b"/>
        <c:majorTickMark val="out"/>
        <c:minorTickMark val="none"/>
        <c:tickLblPos val="nextTo"/>
        <c:crossAx val="33634560"/>
        <c:crosses val="autoZero"/>
        <c:auto val="1"/>
        <c:lblAlgn val="ctr"/>
        <c:lblOffset val="100"/>
        <c:noMultiLvlLbl val="0"/>
      </c:catAx>
      <c:valAx>
        <c:axId val="33634560"/>
        <c:scaling>
          <c:orientation val="minMax"/>
        </c:scaling>
        <c:delete val="0"/>
        <c:axPos val="l"/>
        <c:majorGridlines/>
        <c:numFmt formatCode="0.00" sourceLinked="1"/>
        <c:majorTickMark val="out"/>
        <c:minorTickMark val="none"/>
        <c:tickLblPos val="nextTo"/>
        <c:crossAx val="3363302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Profitability</a:t>
            </a:r>
            <a:r>
              <a:rPr lang="en-US" baseline="0"/>
              <a:t> Ratios</a:t>
            </a:r>
            <a:endParaRPr lang="en-US"/>
          </a:p>
        </c:rich>
      </c:tx>
      <c:layout/>
      <c:overlay val="0"/>
    </c:title>
    <c:autoTitleDeleted val="0"/>
    <c:plotArea>
      <c:layout>
        <c:manualLayout>
          <c:layoutTarget val="inner"/>
          <c:xMode val="edge"/>
          <c:yMode val="edge"/>
          <c:x val="1.2924137828045966E-2"/>
          <c:y val="0.1998738151893921"/>
          <c:w val="0.9628482737734706"/>
          <c:h val="0.43373735313446526"/>
        </c:manualLayout>
      </c:layout>
      <c:barChart>
        <c:barDir val="col"/>
        <c:grouping val="clustered"/>
        <c:varyColors val="0"/>
        <c:ser>
          <c:idx val="0"/>
          <c:order val="0"/>
          <c:tx>
            <c:strRef>
              <c:f>Sheet1!$A$28</c:f>
              <c:strCache>
                <c:ptCount val="1"/>
                <c:pt idx="0">
                  <c:v>Profit Margins</c:v>
                </c:pt>
              </c:strCache>
            </c:strRef>
          </c:tx>
          <c:invertIfNegative val="0"/>
          <c:dLbls>
            <c:delete val="1"/>
          </c:dLbls>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Sheet1!$B$28:$X$28</c:f>
              <c:numCache>
                <c:formatCode>0.00</c:formatCode>
                <c:ptCount val="23"/>
                <c:pt idx="0">
                  <c:v>1.6075343021839734E-2</c:v>
                </c:pt>
                <c:pt idx="1">
                  <c:v>3.9175434094602689E-2</c:v>
                </c:pt>
                <c:pt idx="2">
                  <c:v>-3.2361569490282363E-2</c:v>
                </c:pt>
                <c:pt idx="3">
                  <c:v>2.8107772342573181E-2</c:v>
                </c:pt>
                <c:pt idx="4">
                  <c:v>5.3579676674364897E-2</c:v>
                </c:pt>
                <c:pt idx="6" formatCode="#,##0.00">
                  <c:v>8.6593172119487916E-2</c:v>
                </c:pt>
                <c:pt idx="7" formatCode="#,##0.00">
                  <c:v>9.3669887596134885E-2</c:v>
                </c:pt>
                <c:pt idx="8" formatCode="#,##0.00">
                  <c:v>1.5067911714770798E-2</c:v>
                </c:pt>
                <c:pt idx="9" formatCode="#,##0.00">
                  <c:v>5.5696631115625526E-2</c:v>
                </c:pt>
                <c:pt idx="10" formatCode="#,##0.00">
                  <c:v>8.8087111977896967E-2</c:v>
                </c:pt>
                <c:pt idx="12">
                  <c:v>3.0016224986479177E-2</c:v>
                </c:pt>
                <c:pt idx="13">
                  <c:v>1.5593989225971079E-2</c:v>
                </c:pt>
                <c:pt idx="14">
                  <c:v>-1.3805522208883553E-2</c:v>
                </c:pt>
                <c:pt idx="15">
                  <c:v>4.4305446963773781E-2</c:v>
                </c:pt>
                <c:pt idx="16">
                  <c:v>7.2498662386302842E-2</c:v>
                </c:pt>
                <c:pt idx="18">
                  <c:v>9.8025387870239775E-2</c:v>
                </c:pt>
                <c:pt idx="19">
                  <c:v>9.8415995845234999E-2</c:v>
                </c:pt>
                <c:pt idx="20">
                  <c:v>7.8133333333333332E-2</c:v>
                </c:pt>
                <c:pt idx="21">
                  <c:v>-0.25087596355991593</c:v>
                </c:pt>
                <c:pt idx="22">
                  <c:v>9.2431192660550457E-2</c:v>
                </c:pt>
              </c:numCache>
            </c:numRef>
          </c:val>
        </c:ser>
        <c:ser>
          <c:idx val="1"/>
          <c:order val="1"/>
          <c:tx>
            <c:strRef>
              <c:f>Sheet1!$A$29</c:f>
              <c:strCache>
                <c:ptCount val="1"/>
                <c:pt idx="0">
                  <c:v>ROA</c:v>
                </c:pt>
              </c:strCache>
            </c:strRef>
          </c:tx>
          <c:invertIfNegative val="0"/>
          <c:dLbls>
            <c:delete val="1"/>
          </c:dLbls>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Sheet1!$B$29:$X$29</c:f>
              <c:numCache>
                <c:formatCode>0.00</c:formatCode>
                <c:ptCount val="23"/>
                <c:pt idx="0">
                  <c:v>3.3502538071065992E-2</c:v>
                </c:pt>
                <c:pt idx="1">
                  <c:v>5.0985194255816539E-2</c:v>
                </c:pt>
                <c:pt idx="2">
                  <c:v>-4.4497667969242406E-2</c:v>
                </c:pt>
                <c:pt idx="3">
                  <c:v>4.0660451533191061E-2</c:v>
                </c:pt>
                <c:pt idx="4">
                  <c:v>7.7834936255871165E-2</c:v>
                </c:pt>
                <c:pt idx="6" formatCode="#,##0.00">
                  <c:v>5.0941422594142256E-2</c:v>
                </c:pt>
                <c:pt idx="7" formatCode="#,##0.00">
                  <c:v>4.8588379705400982E-2</c:v>
                </c:pt>
                <c:pt idx="8" formatCode="#,##0.00">
                  <c:v>8.1040977057413536E-3</c:v>
                </c:pt>
                <c:pt idx="9" formatCode="#,##0.00">
                  <c:v>3.3907039060084507E-2</c:v>
                </c:pt>
                <c:pt idx="10" formatCode="#,##0.00">
                  <c:v>5.6329245479110369E-2</c:v>
                </c:pt>
                <c:pt idx="12">
                  <c:v>1.4786199547089384E-2</c:v>
                </c:pt>
                <c:pt idx="13">
                  <c:v>7.5935385889824656E-3</c:v>
                </c:pt>
                <c:pt idx="14">
                  <c:v>-6.4290705800139764E-3</c:v>
                </c:pt>
                <c:pt idx="15">
                  <c:v>2.7782317372119628E-2</c:v>
                </c:pt>
                <c:pt idx="16">
                  <c:v>4.3373879641485279E-2</c:v>
                </c:pt>
                <c:pt idx="18">
                  <c:v>4.6215227751302226E-2</c:v>
                </c:pt>
                <c:pt idx="19">
                  <c:v>4.0250637213254038E-2</c:v>
                </c:pt>
                <c:pt idx="20">
                  <c:v>3.1330196749358427E-2</c:v>
                </c:pt>
                <c:pt idx="21">
                  <c:v>-0.1121905358821686</c:v>
                </c:pt>
                <c:pt idx="22">
                  <c:v>3.853140835643943E-2</c:v>
                </c:pt>
              </c:numCache>
            </c:numRef>
          </c:val>
        </c:ser>
        <c:ser>
          <c:idx val="2"/>
          <c:order val="2"/>
          <c:tx>
            <c:strRef>
              <c:f>Sheet1!$A$30</c:f>
              <c:strCache>
                <c:ptCount val="1"/>
                <c:pt idx="0">
                  <c:v>ROE</c:v>
                </c:pt>
              </c:strCache>
            </c:strRef>
          </c:tx>
          <c:invertIfNegative val="0"/>
          <c:dLbls>
            <c:delete val="1"/>
          </c:dLbls>
          <c:cat>
            <c:multiLvlStrRef>
              <c:f>Sheet1!$B$10:$X$11</c:f>
              <c:multiLvlStrCache>
                <c:ptCount val="23"/>
                <c:lvl>
                  <c:pt idx="0">
                    <c:v>12/30/2011</c:v>
                  </c:pt>
                  <c:pt idx="1">
                    <c:v>12/31/2010</c:v>
                  </c:pt>
                  <c:pt idx="2">
                    <c:v>01/01/2010</c:v>
                  </c:pt>
                  <c:pt idx="3">
                    <c:v>01/02/2009</c:v>
                  </c:pt>
                  <c:pt idx="4">
                    <c:v>12/28/2007</c:v>
                  </c:pt>
                  <c:pt idx="6">
                    <c:v>12/30/2011</c:v>
                  </c:pt>
                  <c:pt idx="7">
                    <c:v>12/31/2010</c:v>
                  </c:pt>
                  <c:pt idx="8">
                    <c:v>01/01/2010</c:v>
                  </c:pt>
                  <c:pt idx="9">
                    <c:v>01/02/2009</c:v>
                  </c:pt>
                  <c:pt idx="10">
                    <c:v>12/28/2007</c:v>
                  </c:pt>
                  <c:pt idx="12">
                    <c:v>12/30/2011</c:v>
                  </c:pt>
                  <c:pt idx="13">
                    <c:v>12/31/2010</c:v>
                  </c:pt>
                  <c:pt idx="14">
                    <c:v>01/01/2010</c:v>
                  </c:pt>
                  <c:pt idx="15">
                    <c:v>01/02/2009</c:v>
                  </c:pt>
                  <c:pt idx="16">
                    <c:v>12/28/2007</c:v>
                  </c:pt>
                  <c:pt idx="18">
                    <c:v>12/30/2011</c:v>
                  </c:pt>
                  <c:pt idx="19">
                    <c:v>12/31/2010</c:v>
                  </c:pt>
                  <c:pt idx="20">
                    <c:v>01/01/2010</c:v>
                  </c:pt>
                  <c:pt idx="21">
                    <c:v>01/02/2009</c:v>
                  </c:pt>
                  <c:pt idx="22">
                    <c:v>12/28/2007</c:v>
                  </c:pt>
                </c:lvl>
                <c:lvl>
                  <c:pt idx="0">
                    <c:v>Marriott</c:v>
                  </c:pt>
                  <c:pt idx="6">
                    <c:v>Starwood</c:v>
                  </c:pt>
                  <c:pt idx="12">
                    <c:v>Hyatt</c:v>
                  </c:pt>
                  <c:pt idx="18">
                    <c:v>Wyndham</c:v>
                  </c:pt>
                </c:lvl>
              </c:multiLvlStrCache>
            </c:multiLvlStrRef>
          </c:cat>
          <c:val>
            <c:numRef>
              <c:f>Sheet1!$B$30:$X$30</c:f>
              <c:numCache>
                <c:formatCode>0.00</c:formatCode>
                <c:ptCount val="23"/>
                <c:pt idx="0">
                  <c:v>-0.25352112676056338</c:v>
                </c:pt>
                <c:pt idx="1">
                  <c:v>0.2889589905362776</c:v>
                </c:pt>
                <c:pt idx="2">
                  <c:v>-0.30910683012259194</c:v>
                </c:pt>
                <c:pt idx="3">
                  <c:v>0.26231884057971017</c:v>
                </c:pt>
                <c:pt idx="4">
                  <c:v>0.48705388383484954</c:v>
                </c:pt>
                <c:pt idx="6" formatCode="#,##0.00">
                  <c:v>0.16480541455160744</c:v>
                </c:pt>
                <c:pt idx="7" formatCode="#,##0.00">
                  <c:v>0.1910699919549477</c:v>
                </c:pt>
                <c:pt idx="8" formatCode="#,##0.00">
                  <c:v>3.8482384823848241E-2</c:v>
                </c:pt>
                <c:pt idx="9" formatCode="#,##0.00">
                  <c:v>0.20296113510178901</c:v>
                </c:pt>
                <c:pt idx="10" formatCode="#,##0.00">
                  <c:v>0.26107899807321772</c:v>
                </c:pt>
                <c:pt idx="12">
                  <c:v>2.2990886495443248E-2</c:v>
                </c:pt>
                <c:pt idx="13">
                  <c:v>1.0719158058857923E-2</c:v>
                </c:pt>
                <c:pt idx="14">
                  <c:v>-9.1269841269841275E-3</c:v>
                </c:pt>
                <c:pt idx="15">
                  <c:v>4.7327394209354119E-2</c:v>
                </c:pt>
                <c:pt idx="16">
                  <c:v>7.8120495820121066E-2</c:v>
                </c:pt>
                <c:pt idx="18">
                  <c:v>0.18682795698924731</c:v>
                </c:pt>
                <c:pt idx="19">
                  <c:v>0.12992800822763112</c:v>
                </c:pt>
                <c:pt idx="20">
                  <c:v>0.10900297619047619</c:v>
                </c:pt>
                <c:pt idx="21">
                  <c:v>-0.45858240819812124</c:v>
                </c:pt>
                <c:pt idx="22">
                  <c:v>0.11461888509670079</c:v>
                </c:pt>
              </c:numCache>
            </c:numRef>
          </c:val>
        </c:ser>
        <c:dLbls>
          <c:showLegendKey val="0"/>
          <c:showVal val="1"/>
          <c:showCatName val="0"/>
          <c:showSerName val="0"/>
          <c:showPercent val="0"/>
          <c:showBubbleSize val="0"/>
        </c:dLbls>
        <c:gapWidth val="150"/>
        <c:overlap val="-25"/>
        <c:axId val="38941056"/>
        <c:axId val="38942592"/>
      </c:barChart>
      <c:catAx>
        <c:axId val="38941056"/>
        <c:scaling>
          <c:orientation val="minMax"/>
        </c:scaling>
        <c:delete val="0"/>
        <c:axPos val="b"/>
        <c:majorTickMark val="none"/>
        <c:minorTickMark val="none"/>
        <c:tickLblPos val="nextTo"/>
        <c:crossAx val="38942592"/>
        <c:crosses val="autoZero"/>
        <c:auto val="1"/>
        <c:lblAlgn val="ctr"/>
        <c:lblOffset val="100"/>
        <c:noMultiLvlLbl val="0"/>
      </c:catAx>
      <c:valAx>
        <c:axId val="38942592"/>
        <c:scaling>
          <c:orientation val="minMax"/>
        </c:scaling>
        <c:delete val="1"/>
        <c:axPos val="l"/>
        <c:numFmt formatCode="0.00" sourceLinked="1"/>
        <c:majorTickMark val="out"/>
        <c:minorTickMark val="none"/>
        <c:tickLblPos val="nextTo"/>
        <c:crossAx val="38941056"/>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21</cp:revision>
  <dcterms:created xsi:type="dcterms:W3CDTF">2012-10-23T10:43:00Z</dcterms:created>
  <dcterms:modified xsi:type="dcterms:W3CDTF">2012-11-14T21:19:00Z</dcterms:modified>
</cp:coreProperties>
</file>